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F07D11" w:rsidRDefault="00EC1F98" w:rsidP="001B6ADA">
      <w:pPr>
        <w:pStyle w:val="NoSpacing"/>
        <w:ind w:left="2620" w:firstLine="1310"/>
        <w:rPr>
          <w:rFonts w:ascii="Times New Roman" w:eastAsia="Calibri" w:hAnsi="Times New Roman" w:cs="Times New Roman"/>
          <w:b/>
          <w:bCs/>
          <w:sz w:val="24"/>
          <w:szCs w:val="24"/>
        </w:rPr>
      </w:pPr>
      <w:bookmarkStart w:id="0" w:name="_GoBack"/>
      <w:bookmarkEnd w:id="0"/>
      <w:r w:rsidRPr="00F07D11">
        <w:rPr>
          <w:rFonts w:ascii="Times New Roman" w:eastAsia="Calibri" w:hAnsi="Times New Roman" w:cs="Times New Roman"/>
          <w:b/>
          <w:bCs/>
          <w:color w:val="333333"/>
          <w:sz w:val="24"/>
          <w:szCs w:val="24"/>
        </w:rPr>
        <w:t>Rule Self-Certification</w:t>
      </w:r>
    </w:p>
    <w:p w:rsidR="00EC1F98" w:rsidRPr="00F07D11" w:rsidRDefault="00EC1F98" w:rsidP="00EC1F98">
      <w:pPr>
        <w:pStyle w:val="NoSpacing"/>
        <w:rPr>
          <w:rFonts w:ascii="Times New Roman" w:eastAsia="Calibri" w:hAnsi="Times New Roman" w:cs="Times New Roman"/>
          <w:sz w:val="24"/>
          <w:szCs w:val="24"/>
          <w:u w:val="single"/>
        </w:rPr>
      </w:pPr>
    </w:p>
    <w:p w:rsidR="005101CA" w:rsidRPr="00F07D11" w:rsidRDefault="00C22808"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September 12</w:t>
      </w:r>
      <w:r w:rsidR="0044619C" w:rsidRPr="0092519E">
        <w:rPr>
          <w:rFonts w:ascii="Times New Roman" w:eastAsia="Calibri" w:hAnsi="Times New Roman" w:cs="Times New Roman"/>
          <w:sz w:val="24"/>
          <w:szCs w:val="24"/>
        </w:rPr>
        <w:t>, 2016</w:t>
      </w:r>
    </w:p>
    <w:p w:rsidR="005101CA" w:rsidRPr="00F07D11" w:rsidRDefault="005101CA" w:rsidP="005101CA">
      <w:pPr>
        <w:pStyle w:val="NoSpacing"/>
        <w:rPr>
          <w:rFonts w:ascii="Times New Roman" w:eastAsia="Calibri" w:hAnsi="Times New Roman" w:cs="Times New Roman"/>
          <w:sz w:val="24"/>
          <w:szCs w:val="24"/>
        </w:rPr>
      </w:pP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Christopher J. Kirkpatrick</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Office of the Secretariat</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Commodity Futures Trading Commission</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Three Lafayette Center</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1155 21</w:t>
      </w:r>
      <w:r w:rsidRPr="00F07D11">
        <w:rPr>
          <w:rFonts w:ascii="Times New Roman" w:eastAsia="Calibri" w:hAnsi="Times New Roman" w:cs="Times New Roman"/>
          <w:sz w:val="24"/>
          <w:szCs w:val="24"/>
          <w:vertAlign w:val="superscript"/>
        </w:rPr>
        <w:t>st</w:t>
      </w:r>
      <w:r w:rsidRPr="00F07D11">
        <w:rPr>
          <w:rFonts w:ascii="Times New Roman" w:eastAsia="Calibri" w:hAnsi="Times New Roman" w:cs="Times New Roman"/>
          <w:sz w:val="24"/>
          <w:szCs w:val="24"/>
        </w:rPr>
        <w:t xml:space="preserve"> Street, NW</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Washington, DC  20581</w:t>
      </w:r>
    </w:p>
    <w:p w:rsidR="005101CA" w:rsidRPr="00F07D11" w:rsidRDefault="005101CA" w:rsidP="005101CA">
      <w:pPr>
        <w:pStyle w:val="NoSpacing"/>
        <w:rPr>
          <w:rFonts w:ascii="Times New Roman" w:eastAsia="Times New Roman" w:hAnsi="Times New Roman" w:cs="Times New Roman"/>
          <w:sz w:val="24"/>
          <w:szCs w:val="24"/>
        </w:rPr>
      </w:pPr>
    </w:p>
    <w:p w:rsidR="005101CA" w:rsidRPr="00F07D11" w:rsidRDefault="005101CA" w:rsidP="00566AD7">
      <w:pPr>
        <w:pStyle w:val="NoSpacing"/>
        <w:ind w:left="72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Re:  </w:t>
      </w:r>
      <w:r w:rsidR="005F6EC0" w:rsidRPr="00F07D11">
        <w:rPr>
          <w:rFonts w:ascii="Times New Roman" w:eastAsia="Calibri" w:hAnsi="Times New Roman" w:cs="Times New Roman"/>
          <w:b/>
          <w:sz w:val="24"/>
          <w:szCs w:val="24"/>
        </w:rPr>
        <w:t xml:space="preserve">Rule </w:t>
      </w:r>
      <w:r w:rsidR="009600A6" w:rsidRPr="00F07D11">
        <w:rPr>
          <w:rFonts w:ascii="Times New Roman" w:eastAsia="Calibri" w:hAnsi="Times New Roman" w:cs="Times New Roman"/>
          <w:b/>
          <w:sz w:val="24"/>
          <w:szCs w:val="24"/>
        </w:rPr>
        <w:t>§40.6 Submission Certific</w:t>
      </w:r>
      <w:r w:rsidR="005F6EC0" w:rsidRPr="00F07D11">
        <w:rPr>
          <w:rFonts w:ascii="Times New Roman" w:eastAsia="Calibri" w:hAnsi="Times New Roman" w:cs="Times New Roman"/>
          <w:b/>
          <w:sz w:val="24"/>
          <w:szCs w:val="24"/>
        </w:rPr>
        <w:t>ation</w:t>
      </w:r>
    </w:p>
    <w:p w:rsidR="00C22808" w:rsidRPr="00C22808" w:rsidRDefault="00C22808" w:rsidP="00566AD7">
      <w:pPr>
        <w:pStyle w:val="NoSpacing"/>
        <w:ind w:left="720"/>
        <w:rPr>
          <w:rFonts w:ascii="Times New Roman" w:eastAsia="Calibri" w:hAnsi="Times New Roman" w:cs="Times New Roman"/>
          <w:b/>
          <w:sz w:val="24"/>
          <w:szCs w:val="24"/>
        </w:rPr>
      </w:pPr>
      <w:r>
        <w:rPr>
          <w:rFonts w:ascii="Times New Roman" w:eastAsia="Calibri" w:hAnsi="Times New Roman" w:cs="Times New Roman"/>
          <w:b/>
          <w:sz w:val="24"/>
          <w:szCs w:val="24"/>
        </w:rPr>
        <w:t>Standard Combination Order</w:t>
      </w:r>
      <w:r w:rsidR="0056277B">
        <w:rPr>
          <w:rFonts w:ascii="Times New Roman" w:eastAsia="Calibri" w:hAnsi="Times New Roman" w:cs="Times New Roman"/>
          <w:b/>
          <w:sz w:val="24"/>
          <w:szCs w:val="24"/>
        </w:rPr>
        <w:t>s</w:t>
      </w:r>
      <w:r w:rsidRPr="00C22808">
        <w:rPr>
          <w:rFonts w:ascii="Times New Roman" w:eastAsia="Calibri" w:hAnsi="Times New Roman" w:cs="Times New Roman"/>
          <w:b/>
          <w:sz w:val="24"/>
          <w:szCs w:val="24"/>
        </w:rPr>
        <w:t xml:space="preserve"> </w:t>
      </w:r>
    </w:p>
    <w:p w:rsidR="00566AD7" w:rsidRPr="00D90E5E" w:rsidRDefault="00236217" w:rsidP="00566AD7">
      <w:pPr>
        <w:pStyle w:val="NoSpacing"/>
        <w:ind w:left="720"/>
        <w:rPr>
          <w:rFonts w:ascii="Times New Roman" w:eastAsia="Calibri" w:hAnsi="Times New Roman" w:cs="Times New Roman"/>
          <w:b/>
          <w:sz w:val="24"/>
          <w:szCs w:val="24"/>
        </w:rPr>
      </w:pPr>
      <w:r>
        <w:rPr>
          <w:rFonts w:ascii="Times New Roman" w:eastAsia="Calibri" w:hAnsi="Times New Roman" w:cs="Times New Roman"/>
          <w:b/>
          <w:sz w:val="24"/>
          <w:szCs w:val="24"/>
        </w:rPr>
        <w:t>Reference Guide</w:t>
      </w:r>
    </w:p>
    <w:p w:rsidR="005101CA" w:rsidRPr="00F07D11" w:rsidRDefault="005101CA" w:rsidP="005101CA">
      <w:pPr>
        <w:pStyle w:val="NoSpacing"/>
        <w:ind w:left="720"/>
        <w:rPr>
          <w:rFonts w:ascii="Times New Roman" w:eastAsia="Calibri" w:hAnsi="Times New Roman" w:cs="Times New Roman"/>
          <w:b/>
          <w:sz w:val="24"/>
          <w:szCs w:val="24"/>
          <w:u w:val="single"/>
        </w:rPr>
      </w:pPr>
      <w:r w:rsidRPr="00F07D11">
        <w:rPr>
          <w:rFonts w:ascii="Times New Roman" w:eastAsia="Calibri" w:hAnsi="Times New Roman" w:cs="Times New Roman"/>
          <w:b/>
          <w:sz w:val="24"/>
          <w:szCs w:val="24"/>
          <w:u w:val="single"/>
        </w:rPr>
        <w:t>Reference File</w:t>
      </w:r>
      <w:r w:rsidR="00236217">
        <w:rPr>
          <w:rFonts w:ascii="Times New Roman" w:eastAsia="Calibri" w:hAnsi="Times New Roman" w:cs="Times New Roman"/>
          <w:b/>
          <w:sz w:val="24"/>
          <w:szCs w:val="24"/>
          <w:u w:val="single"/>
        </w:rPr>
        <w:t>: SR-NFX-2016-</w:t>
      </w:r>
      <w:r w:rsidR="00D97677">
        <w:rPr>
          <w:rFonts w:ascii="Times New Roman" w:eastAsia="Calibri" w:hAnsi="Times New Roman" w:cs="Times New Roman"/>
          <w:b/>
          <w:sz w:val="24"/>
          <w:szCs w:val="24"/>
          <w:u w:val="single"/>
        </w:rPr>
        <w:t>84</w:t>
      </w:r>
    </w:p>
    <w:p w:rsidR="005101CA" w:rsidRPr="00F07D11" w:rsidRDefault="005101CA" w:rsidP="005101CA">
      <w:pPr>
        <w:pStyle w:val="NoSpacing"/>
        <w:ind w:left="720" w:hanging="720"/>
        <w:rPr>
          <w:rFonts w:ascii="Times New Roman" w:hAnsi="Times New Roman" w:cs="Times New Roman"/>
          <w:b/>
          <w:sz w:val="24"/>
          <w:szCs w:val="24"/>
          <w:u w:val="single"/>
        </w:rPr>
      </w:pP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Dear Mr. Kirkpatrick:</w:t>
      </w:r>
    </w:p>
    <w:p w:rsidR="005101CA" w:rsidRPr="00F07D11" w:rsidRDefault="005101CA" w:rsidP="005101CA">
      <w:pPr>
        <w:pStyle w:val="NoSpacing"/>
        <w:rPr>
          <w:rFonts w:ascii="Times New Roman" w:eastAsia="Calibri" w:hAnsi="Times New Roman" w:cs="Times New Roman"/>
          <w:sz w:val="24"/>
          <w:szCs w:val="24"/>
        </w:rPr>
      </w:pPr>
    </w:p>
    <w:p w:rsidR="00663423" w:rsidRDefault="004A3B90" w:rsidP="00663423">
      <w:pPr>
        <w:pStyle w:val="NoSpacing"/>
        <w:ind w:firstLine="1310"/>
        <w:rPr>
          <w:rFonts w:ascii="Times New Roman" w:hAnsi="Times New Roman" w:cs="Times New Roman"/>
          <w:bCs/>
          <w:sz w:val="24"/>
          <w:szCs w:val="24"/>
        </w:rPr>
      </w:pPr>
      <w:r w:rsidRPr="00F07D11">
        <w:rPr>
          <w:rFonts w:ascii="Times New Roman" w:eastAsia="Calibri" w:hAnsi="Times New Roman" w:cs="Times New Roman"/>
          <w:sz w:val="24"/>
          <w:szCs w:val="24"/>
        </w:rPr>
        <w:t xml:space="preserve">Pursuant to Section 5c(c)(1) of the Commodity Exchange Act, as amended (“Act”), and Section 40.6(a) of the regulations promulgated by the Commodity Futures Trading Commission under the Act, NASDAQ Futures, Inc. (“NFX” or “Exchange”) </w:t>
      </w:r>
      <w:r w:rsidR="00653825">
        <w:rPr>
          <w:rFonts w:ascii="Times New Roman" w:eastAsia="Calibri" w:hAnsi="Times New Roman" w:cs="Times New Roman"/>
          <w:sz w:val="24"/>
          <w:szCs w:val="24"/>
        </w:rPr>
        <w:t>is amending</w:t>
      </w:r>
      <w:r w:rsidRPr="00F07D11">
        <w:rPr>
          <w:rFonts w:ascii="Times New Roman" w:eastAsia="Calibri" w:hAnsi="Times New Roman" w:cs="Times New Roman"/>
          <w:sz w:val="24"/>
          <w:szCs w:val="24"/>
        </w:rPr>
        <w:t xml:space="preserve"> </w:t>
      </w:r>
      <w:r w:rsidR="00236217">
        <w:rPr>
          <w:rFonts w:ascii="Times New Roman" w:eastAsia="Calibri" w:hAnsi="Times New Roman" w:cs="Times New Roman"/>
          <w:sz w:val="24"/>
          <w:szCs w:val="24"/>
        </w:rPr>
        <w:t xml:space="preserve">its </w:t>
      </w:r>
      <w:r w:rsidR="004E5ED8">
        <w:rPr>
          <w:rFonts w:ascii="Times New Roman" w:eastAsia="Calibri" w:hAnsi="Times New Roman" w:cs="Times New Roman"/>
          <w:sz w:val="24"/>
          <w:szCs w:val="24"/>
        </w:rPr>
        <w:t xml:space="preserve">Standard Combination Orders </w:t>
      </w:r>
      <w:r w:rsidR="00236217">
        <w:rPr>
          <w:rFonts w:ascii="Times New Roman" w:eastAsia="Calibri" w:hAnsi="Times New Roman" w:cs="Times New Roman"/>
          <w:sz w:val="24"/>
          <w:szCs w:val="24"/>
        </w:rPr>
        <w:t>Reference Guide</w:t>
      </w:r>
      <w:r w:rsidR="00116A69">
        <w:rPr>
          <w:rFonts w:ascii="Times New Roman" w:eastAsia="Calibri" w:hAnsi="Times New Roman" w:cs="Times New Roman"/>
          <w:sz w:val="24"/>
          <w:szCs w:val="24"/>
        </w:rPr>
        <w:t xml:space="preserve"> (“Reference Guide”)</w:t>
      </w:r>
      <w:r w:rsidR="00236217">
        <w:rPr>
          <w:rFonts w:ascii="Times New Roman" w:eastAsia="Calibri" w:hAnsi="Times New Roman" w:cs="Times New Roman"/>
          <w:sz w:val="24"/>
          <w:szCs w:val="24"/>
        </w:rPr>
        <w:t xml:space="preserve">.  </w:t>
      </w:r>
      <w:r w:rsidR="004A3F08" w:rsidRPr="004A3F08">
        <w:rPr>
          <w:rFonts w:ascii="Times New Roman" w:hAnsi="Times New Roman" w:cs="Times New Roman"/>
          <w:bCs/>
          <w:sz w:val="24"/>
          <w:szCs w:val="24"/>
        </w:rPr>
        <w:t xml:space="preserve">The amended </w:t>
      </w:r>
      <w:r w:rsidR="004E5ED8">
        <w:rPr>
          <w:rFonts w:ascii="Times New Roman" w:hAnsi="Times New Roman" w:cs="Times New Roman"/>
          <w:bCs/>
          <w:sz w:val="24"/>
          <w:szCs w:val="24"/>
        </w:rPr>
        <w:t>Reference Guide</w:t>
      </w:r>
      <w:r w:rsidR="004A3F08" w:rsidRPr="004A3F08">
        <w:rPr>
          <w:rFonts w:ascii="Times New Roman" w:hAnsi="Times New Roman" w:cs="Times New Roman"/>
          <w:bCs/>
          <w:sz w:val="24"/>
          <w:szCs w:val="24"/>
        </w:rPr>
        <w:t xml:space="preserve"> is attached as Exhibit A and will be implemented as of</w:t>
      </w:r>
      <w:r w:rsidR="00236217">
        <w:rPr>
          <w:rFonts w:ascii="Times New Roman" w:hAnsi="Times New Roman" w:cs="Times New Roman"/>
          <w:bCs/>
          <w:sz w:val="24"/>
          <w:szCs w:val="24"/>
        </w:rPr>
        <w:t xml:space="preserve"> </w:t>
      </w:r>
      <w:r w:rsidR="004C5008">
        <w:rPr>
          <w:rFonts w:ascii="Times New Roman" w:hAnsi="Times New Roman" w:cs="Times New Roman"/>
          <w:bCs/>
          <w:sz w:val="24"/>
          <w:szCs w:val="24"/>
        </w:rPr>
        <w:t xml:space="preserve">September </w:t>
      </w:r>
      <w:r w:rsidR="004E5ED8">
        <w:rPr>
          <w:rFonts w:ascii="Times New Roman" w:hAnsi="Times New Roman" w:cs="Times New Roman"/>
          <w:bCs/>
          <w:sz w:val="24"/>
          <w:szCs w:val="24"/>
        </w:rPr>
        <w:t>27</w:t>
      </w:r>
      <w:r w:rsidR="00236217">
        <w:rPr>
          <w:rFonts w:ascii="Times New Roman" w:hAnsi="Times New Roman" w:cs="Times New Roman"/>
          <w:bCs/>
          <w:sz w:val="24"/>
          <w:szCs w:val="24"/>
        </w:rPr>
        <w:t>, 2016</w:t>
      </w:r>
      <w:r w:rsidR="004A3F08" w:rsidRPr="004A3F08">
        <w:rPr>
          <w:rFonts w:ascii="Times New Roman" w:hAnsi="Times New Roman" w:cs="Times New Roman"/>
          <w:bCs/>
          <w:sz w:val="24"/>
          <w:szCs w:val="24"/>
        </w:rPr>
        <w:t>. </w:t>
      </w:r>
    </w:p>
    <w:p w:rsidR="00663423" w:rsidRDefault="00663423" w:rsidP="004C5008">
      <w:pPr>
        <w:pStyle w:val="NoSpacing"/>
        <w:rPr>
          <w:rFonts w:ascii="Times New Roman" w:hAnsi="Times New Roman" w:cs="Times New Roman"/>
          <w:bCs/>
          <w:sz w:val="24"/>
          <w:szCs w:val="24"/>
        </w:rPr>
      </w:pPr>
    </w:p>
    <w:p w:rsidR="004C5008" w:rsidRPr="004C5008" w:rsidRDefault="004C5008" w:rsidP="004C5008">
      <w:pPr>
        <w:pStyle w:val="NoSpacing"/>
        <w:rPr>
          <w:rFonts w:ascii="Times New Roman" w:hAnsi="Times New Roman" w:cs="Times New Roman"/>
          <w:b/>
          <w:bCs/>
          <w:sz w:val="24"/>
          <w:szCs w:val="24"/>
        </w:rPr>
      </w:pPr>
      <w:r w:rsidRPr="004C5008">
        <w:rPr>
          <w:rFonts w:ascii="Times New Roman" w:hAnsi="Times New Roman" w:cs="Times New Roman"/>
          <w:b/>
          <w:bCs/>
          <w:sz w:val="24"/>
          <w:szCs w:val="24"/>
        </w:rPr>
        <w:t xml:space="preserve">Amendments to </w:t>
      </w:r>
      <w:r w:rsidR="00116A69">
        <w:rPr>
          <w:rFonts w:ascii="Times New Roman" w:hAnsi="Times New Roman" w:cs="Times New Roman"/>
          <w:b/>
          <w:bCs/>
          <w:sz w:val="24"/>
          <w:szCs w:val="24"/>
        </w:rPr>
        <w:t xml:space="preserve">Standard </w:t>
      </w:r>
      <w:r w:rsidRPr="004C5008">
        <w:rPr>
          <w:rFonts w:ascii="Times New Roman" w:hAnsi="Times New Roman" w:cs="Times New Roman"/>
          <w:b/>
          <w:bCs/>
          <w:sz w:val="24"/>
          <w:szCs w:val="24"/>
        </w:rPr>
        <w:t>Combination Orders</w:t>
      </w:r>
    </w:p>
    <w:p w:rsidR="004C5008" w:rsidRDefault="004C5008" w:rsidP="004C5008">
      <w:pPr>
        <w:pStyle w:val="NoSpacing"/>
        <w:rPr>
          <w:rFonts w:ascii="Times New Roman" w:hAnsi="Times New Roman" w:cs="Times New Roman"/>
          <w:bCs/>
          <w:sz w:val="24"/>
          <w:szCs w:val="24"/>
        </w:rPr>
      </w:pPr>
    </w:p>
    <w:p w:rsidR="007D5A66" w:rsidRDefault="00236217" w:rsidP="00663423">
      <w:pPr>
        <w:pStyle w:val="NoSpacing"/>
        <w:ind w:firstLine="1310"/>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Exchange</w:t>
      </w:r>
      <w:r w:rsidR="0056277B">
        <w:rPr>
          <w:rFonts w:ascii="Times New Roman" w:eastAsia="Times New Roman" w:hAnsi="Times New Roman" w:cs="Times New Roman"/>
          <w:sz w:val="24"/>
          <w:szCs w:val="24"/>
        </w:rPr>
        <w:t xml:space="preserve">’s trading platform allows for the use of Combination Orders; an </w:t>
      </w:r>
      <w:r w:rsidR="004E5ED8">
        <w:rPr>
          <w:rFonts w:ascii="Times New Roman" w:eastAsia="Times New Roman" w:hAnsi="Times New Roman" w:cs="Times New Roman"/>
          <w:sz w:val="24"/>
          <w:szCs w:val="24"/>
        </w:rPr>
        <w:t xml:space="preserve">Order </w:t>
      </w:r>
      <w:r w:rsidR="0056277B">
        <w:rPr>
          <w:rFonts w:ascii="Times New Roman" w:eastAsia="Times New Roman" w:hAnsi="Times New Roman" w:cs="Times New Roman"/>
          <w:sz w:val="24"/>
          <w:szCs w:val="24"/>
        </w:rPr>
        <w:t xml:space="preserve">allowing a market participant to simultaneously buy or sell two, but no more than four, </w:t>
      </w:r>
      <w:r w:rsidR="00D930DB">
        <w:rPr>
          <w:rFonts w:ascii="Times New Roman" w:eastAsia="Times New Roman" w:hAnsi="Times New Roman" w:cs="Times New Roman"/>
          <w:sz w:val="24"/>
          <w:szCs w:val="24"/>
        </w:rPr>
        <w:t>contract</w:t>
      </w:r>
      <w:r w:rsidR="0056277B">
        <w:rPr>
          <w:rFonts w:ascii="Times New Roman" w:eastAsia="Times New Roman" w:hAnsi="Times New Roman" w:cs="Times New Roman"/>
          <w:sz w:val="24"/>
          <w:szCs w:val="24"/>
        </w:rPr>
        <w:t xml:space="preserve">s (respective legs) in one transaction.  </w:t>
      </w:r>
      <w:r w:rsidR="00FC7000">
        <w:rPr>
          <w:rFonts w:ascii="Times New Roman" w:eastAsia="Times New Roman" w:hAnsi="Times New Roman" w:cs="Times New Roman"/>
          <w:sz w:val="24"/>
          <w:szCs w:val="24"/>
        </w:rPr>
        <w:t xml:space="preserve">Certain </w:t>
      </w:r>
      <w:r w:rsidR="003B3F92">
        <w:rPr>
          <w:rFonts w:ascii="Times New Roman" w:eastAsia="Times New Roman" w:hAnsi="Times New Roman" w:cs="Times New Roman"/>
          <w:sz w:val="24"/>
          <w:szCs w:val="24"/>
        </w:rPr>
        <w:t>C</w:t>
      </w:r>
      <w:r w:rsidR="00D930DB">
        <w:rPr>
          <w:rFonts w:ascii="Times New Roman" w:eastAsia="Times New Roman" w:hAnsi="Times New Roman" w:cs="Times New Roman"/>
          <w:sz w:val="24"/>
          <w:szCs w:val="24"/>
        </w:rPr>
        <w:t xml:space="preserve">ombination </w:t>
      </w:r>
      <w:r w:rsidR="003B3F92">
        <w:rPr>
          <w:rFonts w:ascii="Times New Roman" w:eastAsia="Times New Roman" w:hAnsi="Times New Roman" w:cs="Times New Roman"/>
          <w:sz w:val="24"/>
          <w:szCs w:val="24"/>
        </w:rPr>
        <w:t>O</w:t>
      </w:r>
      <w:r w:rsidR="00D930DB">
        <w:rPr>
          <w:rFonts w:ascii="Times New Roman" w:eastAsia="Times New Roman" w:hAnsi="Times New Roman" w:cs="Times New Roman"/>
          <w:sz w:val="24"/>
          <w:szCs w:val="24"/>
        </w:rPr>
        <w:t xml:space="preserve">rders </w:t>
      </w:r>
      <w:r w:rsidR="003B3F92">
        <w:rPr>
          <w:rFonts w:ascii="Times New Roman" w:eastAsia="Times New Roman" w:hAnsi="Times New Roman" w:cs="Times New Roman"/>
          <w:sz w:val="24"/>
          <w:szCs w:val="24"/>
        </w:rPr>
        <w:t xml:space="preserve">comprised of specific instruments are </w:t>
      </w:r>
      <w:r w:rsidR="00D930DB">
        <w:rPr>
          <w:rFonts w:ascii="Times New Roman" w:eastAsia="Times New Roman" w:hAnsi="Times New Roman" w:cs="Times New Roman"/>
          <w:sz w:val="24"/>
          <w:szCs w:val="24"/>
        </w:rPr>
        <w:t xml:space="preserve">used more frequently by the Exchange’s </w:t>
      </w:r>
      <w:r w:rsidR="004C5008">
        <w:rPr>
          <w:rFonts w:ascii="Times New Roman" w:eastAsia="Times New Roman" w:hAnsi="Times New Roman" w:cs="Times New Roman"/>
          <w:sz w:val="24"/>
          <w:szCs w:val="24"/>
        </w:rPr>
        <w:t xml:space="preserve">market participants </w:t>
      </w:r>
      <w:r w:rsidR="00D930DB">
        <w:rPr>
          <w:rFonts w:ascii="Times New Roman" w:eastAsia="Times New Roman" w:hAnsi="Times New Roman" w:cs="Times New Roman"/>
          <w:sz w:val="24"/>
          <w:szCs w:val="24"/>
        </w:rPr>
        <w:t xml:space="preserve">than others.  </w:t>
      </w:r>
      <w:r w:rsidR="002E7D48">
        <w:rPr>
          <w:rFonts w:ascii="Times New Roman" w:eastAsia="Times New Roman" w:hAnsi="Times New Roman" w:cs="Times New Roman"/>
          <w:sz w:val="24"/>
          <w:szCs w:val="24"/>
        </w:rPr>
        <w:t xml:space="preserve">To accommodate this situation, the Exchange established </w:t>
      </w:r>
      <w:r w:rsidR="00D930DB">
        <w:rPr>
          <w:rFonts w:ascii="Times New Roman" w:eastAsia="Times New Roman" w:hAnsi="Times New Roman" w:cs="Times New Roman"/>
          <w:sz w:val="24"/>
          <w:szCs w:val="24"/>
        </w:rPr>
        <w:t>two specific types of Combination Orders</w:t>
      </w:r>
      <w:r w:rsidR="002E7D48">
        <w:rPr>
          <w:rFonts w:ascii="Times New Roman" w:eastAsia="Times New Roman" w:hAnsi="Times New Roman" w:cs="Times New Roman"/>
          <w:sz w:val="24"/>
          <w:szCs w:val="24"/>
        </w:rPr>
        <w:t xml:space="preserve"> that may be used on the NFX Trading System</w:t>
      </w:r>
      <w:r w:rsidR="004C5008">
        <w:rPr>
          <w:rFonts w:ascii="Times New Roman" w:eastAsia="Times New Roman" w:hAnsi="Times New Roman" w:cs="Times New Roman"/>
          <w:sz w:val="24"/>
          <w:szCs w:val="24"/>
        </w:rPr>
        <w:t xml:space="preserve">; </w:t>
      </w:r>
      <w:r w:rsidR="00D930DB">
        <w:rPr>
          <w:rFonts w:ascii="Times New Roman" w:eastAsia="Times New Roman" w:hAnsi="Times New Roman" w:cs="Times New Roman"/>
          <w:sz w:val="24"/>
          <w:szCs w:val="24"/>
        </w:rPr>
        <w:t>Standard</w:t>
      </w:r>
      <w:r w:rsidR="00FC7000">
        <w:rPr>
          <w:rStyle w:val="FootnoteReference"/>
          <w:rFonts w:ascii="Times New Roman" w:eastAsia="Times New Roman" w:hAnsi="Times New Roman" w:cs="Times New Roman"/>
          <w:sz w:val="24"/>
          <w:szCs w:val="24"/>
        </w:rPr>
        <w:footnoteReference w:id="1"/>
      </w:r>
      <w:r w:rsidR="00D930DB">
        <w:rPr>
          <w:rFonts w:ascii="Times New Roman" w:eastAsia="Times New Roman" w:hAnsi="Times New Roman" w:cs="Times New Roman"/>
          <w:sz w:val="24"/>
          <w:szCs w:val="24"/>
        </w:rPr>
        <w:t xml:space="preserve"> </w:t>
      </w:r>
      <w:r w:rsidR="004C5008">
        <w:rPr>
          <w:rFonts w:ascii="Times New Roman" w:eastAsia="Times New Roman" w:hAnsi="Times New Roman" w:cs="Times New Roman"/>
          <w:sz w:val="24"/>
          <w:szCs w:val="24"/>
        </w:rPr>
        <w:t>and Tailor Made</w:t>
      </w:r>
      <w:r w:rsidR="00FC7000">
        <w:rPr>
          <w:rStyle w:val="FootnoteReference"/>
          <w:rFonts w:ascii="Times New Roman" w:eastAsia="Times New Roman" w:hAnsi="Times New Roman" w:cs="Times New Roman"/>
          <w:sz w:val="24"/>
          <w:szCs w:val="24"/>
        </w:rPr>
        <w:footnoteReference w:id="2"/>
      </w:r>
      <w:r w:rsidR="004C5008">
        <w:rPr>
          <w:rFonts w:ascii="Times New Roman" w:eastAsia="Times New Roman" w:hAnsi="Times New Roman" w:cs="Times New Roman"/>
          <w:sz w:val="24"/>
          <w:szCs w:val="24"/>
        </w:rPr>
        <w:t xml:space="preserve">.  Standard </w:t>
      </w:r>
      <w:r w:rsidR="004C5008">
        <w:rPr>
          <w:rFonts w:ascii="Times New Roman" w:eastAsia="Times New Roman" w:hAnsi="Times New Roman" w:cs="Times New Roman"/>
          <w:sz w:val="24"/>
          <w:szCs w:val="24"/>
        </w:rPr>
        <w:lastRenderedPageBreak/>
        <w:t xml:space="preserve">Combination Orders </w:t>
      </w:r>
      <w:r w:rsidR="00D930DB">
        <w:rPr>
          <w:rFonts w:ascii="Times New Roman" w:eastAsia="Times New Roman" w:hAnsi="Times New Roman" w:cs="Times New Roman"/>
          <w:sz w:val="24"/>
          <w:szCs w:val="24"/>
        </w:rPr>
        <w:t>are pre-</w:t>
      </w:r>
      <w:r w:rsidR="00857363">
        <w:rPr>
          <w:rFonts w:ascii="Times New Roman" w:eastAsia="Times New Roman" w:hAnsi="Times New Roman" w:cs="Times New Roman"/>
          <w:sz w:val="24"/>
          <w:szCs w:val="24"/>
        </w:rPr>
        <w:t>populated</w:t>
      </w:r>
      <w:r w:rsidR="00D930DB">
        <w:rPr>
          <w:rFonts w:ascii="Times New Roman" w:eastAsia="Times New Roman" w:hAnsi="Times New Roman" w:cs="Times New Roman"/>
          <w:sz w:val="24"/>
          <w:szCs w:val="24"/>
        </w:rPr>
        <w:t xml:space="preserve"> within the Exchange’s </w:t>
      </w:r>
      <w:r w:rsidR="004E5ED8">
        <w:rPr>
          <w:rFonts w:ascii="Times New Roman" w:eastAsia="Times New Roman" w:hAnsi="Times New Roman" w:cs="Times New Roman"/>
          <w:sz w:val="24"/>
          <w:szCs w:val="24"/>
        </w:rPr>
        <w:t>T</w:t>
      </w:r>
      <w:r w:rsidR="00D930DB">
        <w:rPr>
          <w:rFonts w:ascii="Times New Roman" w:eastAsia="Times New Roman" w:hAnsi="Times New Roman" w:cs="Times New Roman"/>
          <w:sz w:val="24"/>
          <w:szCs w:val="24"/>
        </w:rPr>
        <w:t xml:space="preserve">rading </w:t>
      </w:r>
      <w:r w:rsidR="004E5ED8">
        <w:rPr>
          <w:rFonts w:ascii="Times New Roman" w:eastAsia="Times New Roman" w:hAnsi="Times New Roman" w:cs="Times New Roman"/>
          <w:sz w:val="24"/>
          <w:szCs w:val="24"/>
        </w:rPr>
        <w:t>S</w:t>
      </w:r>
      <w:r w:rsidR="00D930DB">
        <w:rPr>
          <w:rFonts w:ascii="Times New Roman" w:eastAsia="Times New Roman" w:hAnsi="Times New Roman" w:cs="Times New Roman"/>
          <w:sz w:val="24"/>
          <w:szCs w:val="24"/>
        </w:rPr>
        <w:t xml:space="preserve">ystem and are </w:t>
      </w:r>
      <w:r w:rsidR="004C5008">
        <w:rPr>
          <w:rFonts w:ascii="Times New Roman" w:eastAsia="Times New Roman" w:hAnsi="Times New Roman" w:cs="Times New Roman"/>
          <w:sz w:val="24"/>
          <w:szCs w:val="24"/>
        </w:rPr>
        <w:t xml:space="preserve">comprised </w:t>
      </w:r>
      <w:r w:rsidR="00D930DB">
        <w:rPr>
          <w:rFonts w:ascii="Times New Roman" w:eastAsia="Times New Roman" w:hAnsi="Times New Roman" w:cs="Times New Roman"/>
          <w:sz w:val="24"/>
          <w:szCs w:val="24"/>
        </w:rPr>
        <w:t xml:space="preserve">of the most liquid </w:t>
      </w:r>
      <w:r w:rsidR="004E5ED8">
        <w:rPr>
          <w:rFonts w:ascii="Times New Roman" w:eastAsia="Times New Roman" w:hAnsi="Times New Roman" w:cs="Times New Roman"/>
          <w:sz w:val="24"/>
          <w:szCs w:val="24"/>
        </w:rPr>
        <w:t>c</w:t>
      </w:r>
      <w:r w:rsidR="00D930DB">
        <w:rPr>
          <w:rFonts w:ascii="Times New Roman" w:eastAsia="Times New Roman" w:hAnsi="Times New Roman" w:cs="Times New Roman"/>
          <w:sz w:val="24"/>
          <w:szCs w:val="24"/>
        </w:rPr>
        <w:t xml:space="preserve">ombinations used by the Exchange’s market participants.  </w:t>
      </w:r>
      <w:r w:rsidR="007D5A66">
        <w:rPr>
          <w:rFonts w:ascii="Times New Roman" w:eastAsia="Times New Roman" w:hAnsi="Times New Roman" w:cs="Times New Roman"/>
          <w:sz w:val="24"/>
          <w:szCs w:val="24"/>
        </w:rPr>
        <w:t xml:space="preserve">Standard Combination Orders are </w:t>
      </w:r>
      <w:r w:rsidR="00857363">
        <w:rPr>
          <w:rFonts w:ascii="Times New Roman" w:eastAsia="Times New Roman" w:hAnsi="Times New Roman" w:cs="Times New Roman"/>
          <w:sz w:val="24"/>
          <w:szCs w:val="24"/>
        </w:rPr>
        <w:t xml:space="preserve">also available for trading each day </w:t>
      </w:r>
      <w:r w:rsidR="007D5A66">
        <w:rPr>
          <w:rFonts w:ascii="Times New Roman" w:eastAsia="Times New Roman" w:hAnsi="Times New Roman" w:cs="Times New Roman"/>
          <w:sz w:val="24"/>
          <w:szCs w:val="24"/>
        </w:rPr>
        <w:t>the Exchange is open for trading</w:t>
      </w:r>
      <w:r w:rsidR="00857363">
        <w:rPr>
          <w:rFonts w:ascii="Times New Roman" w:eastAsia="Times New Roman" w:hAnsi="Times New Roman" w:cs="Times New Roman"/>
          <w:sz w:val="24"/>
          <w:szCs w:val="24"/>
        </w:rPr>
        <w:t>, making them very attractive to market participants</w:t>
      </w:r>
      <w:r w:rsidR="007D5A66">
        <w:rPr>
          <w:rFonts w:ascii="Times New Roman" w:eastAsia="Times New Roman" w:hAnsi="Times New Roman" w:cs="Times New Roman"/>
          <w:sz w:val="24"/>
          <w:szCs w:val="24"/>
        </w:rPr>
        <w:t xml:space="preserve">.  </w:t>
      </w:r>
    </w:p>
    <w:p w:rsidR="007D5A66" w:rsidRDefault="007D5A66" w:rsidP="00663423">
      <w:pPr>
        <w:pStyle w:val="NoSpacing"/>
        <w:ind w:firstLine="1310"/>
        <w:rPr>
          <w:rFonts w:ascii="Times New Roman" w:eastAsia="Times New Roman" w:hAnsi="Times New Roman" w:cs="Times New Roman"/>
          <w:sz w:val="24"/>
          <w:szCs w:val="24"/>
        </w:rPr>
      </w:pPr>
    </w:p>
    <w:p w:rsidR="004C5008" w:rsidRDefault="004C5008" w:rsidP="007D5A66">
      <w:pPr>
        <w:pStyle w:val="NoSpacing"/>
        <w:ind w:firstLine="1310"/>
        <w:rPr>
          <w:rFonts w:ascii="Times New Roman" w:eastAsia="Times New Roman" w:hAnsi="Times New Roman" w:cs="Times New Roman"/>
          <w:sz w:val="24"/>
          <w:szCs w:val="24"/>
        </w:rPr>
      </w:pPr>
      <w:r>
        <w:rPr>
          <w:rFonts w:ascii="Times New Roman" w:eastAsia="Times New Roman" w:hAnsi="Times New Roman" w:cs="Times New Roman"/>
          <w:sz w:val="24"/>
          <w:szCs w:val="24"/>
        </w:rPr>
        <w:t>Tai</w:t>
      </w:r>
      <w:r w:rsidR="00D930DB">
        <w:rPr>
          <w:rFonts w:ascii="Times New Roman" w:eastAsia="Times New Roman" w:hAnsi="Times New Roman" w:cs="Times New Roman"/>
          <w:sz w:val="24"/>
          <w:szCs w:val="24"/>
        </w:rPr>
        <w:t>lor</w:t>
      </w:r>
      <w:r>
        <w:rPr>
          <w:rFonts w:ascii="Times New Roman" w:eastAsia="Times New Roman" w:hAnsi="Times New Roman" w:cs="Times New Roman"/>
          <w:sz w:val="24"/>
          <w:szCs w:val="24"/>
        </w:rPr>
        <w:t xml:space="preserve"> </w:t>
      </w:r>
      <w:r w:rsidR="00D930DB">
        <w:rPr>
          <w:rFonts w:ascii="Times New Roman" w:eastAsia="Times New Roman" w:hAnsi="Times New Roman" w:cs="Times New Roman"/>
          <w:sz w:val="24"/>
          <w:szCs w:val="24"/>
        </w:rPr>
        <w:t xml:space="preserve">Made Combination Orders are bespoke </w:t>
      </w:r>
      <w:r>
        <w:rPr>
          <w:rFonts w:ascii="Times New Roman" w:eastAsia="Times New Roman" w:hAnsi="Times New Roman" w:cs="Times New Roman"/>
          <w:sz w:val="24"/>
          <w:szCs w:val="24"/>
        </w:rPr>
        <w:t xml:space="preserve">orders </w:t>
      </w:r>
      <w:r w:rsidR="003B3F92">
        <w:rPr>
          <w:rFonts w:ascii="Times New Roman" w:eastAsia="Times New Roman" w:hAnsi="Times New Roman" w:cs="Times New Roman"/>
          <w:sz w:val="24"/>
          <w:szCs w:val="24"/>
        </w:rPr>
        <w:t xml:space="preserve">which </w:t>
      </w:r>
      <w:r w:rsidR="00D930DB">
        <w:rPr>
          <w:rFonts w:ascii="Times New Roman" w:eastAsia="Times New Roman" w:hAnsi="Times New Roman" w:cs="Times New Roman"/>
          <w:sz w:val="24"/>
          <w:szCs w:val="24"/>
        </w:rPr>
        <w:t xml:space="preserve">allow Exchange users to create custom-made </w:t>
      </w:r>
      <w:r w:rsidR="00116A69">
        <w:rPr>
          <w:rFonts w:ascii="Times New Roman" w:eastAsia="Times New Roman" w:hAnsi="Times New Roman" w:cs="Times New Roman"/>
          <w:sz w:val="24"/>
          <w:szCs w:val="24"/>
        </w:rPr>
        <w:t>O</w:t>
      </w:r>
      <w:r w:rsidR="007D5A66">
        <w:rPr>
          <w:rFonts w:ascii="Times New Roman" w:eastAsia="Times New Roman" w:hAnsi="Times New Roman" w:cs="Times New Roman"/>
          <w:sz w:val="24"/>
          <w:szCs w:val="24"/>
        </w:rPr>
        <w:t xml:space="preserve">rders of any combination of </w:t>
      </w:r>
      <w:r w:rsidR="00D930DB">
        <w:rPr>
          <w:rFonts w:ascii="Times New Roman" w:eastAsia="Times New Roman" w:hAnsi="Times New Roman" w:cs="Times New Roman"/>
          <w:sz w:val="24"/>
          <w:szCs w:val="24"/>
        </w:rPr>
        <w:t xml:space="preserve">futures and option </w:t>
      </w:r>
      <w:r w:rsidR="007D5A66">
        <w:rPr>
          <w:rFonts w:ascii="Times New Roman" w:eastAsia="Times New Roman" w:hAnsi="Times New Roman" w:cs="Times New Roman"/>
          <w:sz w:val="24"/>
          <w:szCs w:val="24"/>
        </w:rPr>
        <w:t xml:space="preserve">contracts they wish.  </w:t>
      </w:r>
      <w:r w:rsidR="00014D54">
        <w:rPr>
          <w:rFonts w:ascii="Times New Roman" w:eastAsia="Times New Roman" w:hAnsi="Times New Roman" w:cs="Times New Roman"/>
          <w:sz w:val="24"/>
          <w:szCs w:val="24"/>
        </w:rPr>
        <w:t xml:space="preserve">A </w:t>
      </w:r>
      <w:r w:rsidR="007D5A66">
        <w:rPr>
          <w:rFonts w:ascii="Times New Roman" w:eastAsia="Times New Roman" w:hAnsi="Times New Roman" w:cs="Times New Roman"/>
          <w:sz w:val="24"/>
          <w:szCs w:val="24"/>
        </w:rPr>
        <w:t xml:space="preserve">Tailor Made </w:t>
      </w:r>
      <w:r w:rsidR="00116A69">
        <w:rPr>
          <w:rFonts w:ascii="Times New Roman" w:eastAsia="Times New Roman" w:hAnsi="Times New Roman" w:cs="Times New Roman"/>
          <w:sz w:val="24"/>
          <w:szCs w:val="24"/>
        </w:rPr>
        <w:t xml:space="preserve">Combination </w:t>
      </w:r>
      <w:r w:rsidR="007D5A66">
        <w:rPr>
          <w:rFonts w:ascii="Times New Roman" w:eastAsia="Times New Roman" w:hAnsi="Times New Roman" w:cs="Times New Roman"/>
          <w:sz w:val="24"/>
          <w:szCs w:val="24"/>
        </w:rPr>
        <w:t>Order however must be created each trading day a market participant wishes to use th</w:t>
      </w:r>
      <w:r w:rsidR="00014D54">
        <w:rPr>
          <w:rFonts w:ascii="Times New Roman" w:eastAsia="Times New Roman" w:hAnsi="Times New Roman" w:cs="Times New Roman"/>
          <w:sz w:val="24"/>
          <w:szCs w:val="24"/>
        </w:rPr>
        <w:t>at</w:t>
      </w:r>
      <w:r w:rsidR="007D5A66">
        <w:rPr>
          <w:rFonts w:ascii="Times New Roman" w:eastAsia="Times New Roman" w:hAnsi="Times New Roman" w:cs="Times New Roman"/>
          <w:sz w:val="24"/>
          <w:szCs w:val="24"/>
        </w:rPr>
        <w:t xml:space="preserve"> specific order.  </w:t>
      </w:r>
      <w:r w:rsidR="003B3F92">
        <w:rPr>
          <w:rFonts w:ascii="Times New Roman" w:eastAsia="Times New Roman" w:hAnsi="Times New Roman" w:cs="Times New Roman"/>
          <w:sz w:val="24"/>
          <w:szCs w:val="24"/>
        </w:rPr>
        <w:t xml:space="preserve">As a result, Tailor Made Combination Orders are </w:t>
      </w:r>
      <w:r w:rsidR="002E7D48">
        <w:rPr>
          <w:rFonts w:ascii="Times New Roman" w:eastAsia="Times New Roman" w:hAnsi="Times New Roman" w:cs="Times New Roman"/>
          <w:sz w:val="24"/>
          <w:szCs w:val="24"/>
        </w:rPr>
        <w:t xml:space="preserve">used when a market participant wants to trade a combination of less liquid instruments </w:t>
      </w:r>
      <w:r w:rsidR="00C54A08">
        <w:rPr>
          <w:rFonts w:ascii="Times New Roman" w:eastAsia="Times New Roman" w:hAnsi="Times New Roman" w:cs="Times New Roman"/>
          <w:sz w:val="24"/>
          <w:szCs w:val="24"/>
        </w:rPr>
        <w:t>that are not pre-populated in the Exchange’s Trading System</w:t>
      </w:r>
      <w:r w:rsidR="003B3F92">
        <w:rPr>
          <w:rFonts w:ascii="Times New Roman" w:eastAsia="Times New Roman" w:hAnsi="Times New Roman" w:cs="Times New Roman"/>
          <w:sz w:val="24"/>
          <w:szCs w:val="24"/>
        </w:rPr>
        <w:t xml:space="preserve">.  </w:t>
      </w:r>
    </w:p>
    <w:p w:rsidR="004C5008" w:rsidRDefault="004C5008" w:rsidP="004C5008">
      <w:pPr>
        <w:pStyle w:val="NoSpacing"/>
        <w:rPr>
          <w:rFonts w:ascii="Times New Roman" w:eastAsia="Times New Roman" w:hAnsi="Times New Roman" w:cs="Times New Roman"/>
          <w:sz w:val="24"/>
          <w:szCs w:val="24"/>
        </w:rPr>
      </w:pPr>
    </w:p>
    <w:p w:rsidR="004C5008" w:rsidRPr="004C5008" w:rsidRDefault="004C5008" w:rsidP="004C5008">
      <w:pPr>
        <w:pStyle w:val="NoSpacing"/>
        <w:rPr>
          <w:rFonts w:ascii="Times New Roman" w:eastAsia="Times New Roman" w:hAnsi="Times New Roman" w:cs="Times New Roman"/>
          <w:b/>
          <w:sz w:val="24"/>
          <w:szCs w:val="24"/>
        </w:rPr>
      </w:pPr>
      <w:r w:rsidRPr="004C5008">
        <w:rPr>
          <w:rFonts w:ascii="Times New Roman" w:eastAsia="Times New Roman" w:hAnsi="Times New Roman" w:cs="Times New Roman"/>
          <w:b/>
          <w:sz w:val="24"/>
          <w:szCs w:val="24"/>
        </w:rPr>
        <w:t>Modification of Standard Combination Orders</w:t>
      </w:r>
    </w:p>
    <w:p w:rsidR="004C5008" w:rsidRDefault="004C5008" w:rsidP="00663423">
      <w:pPr>
        <w:pStyle w:val="NoSpacing"/>
        <w:ind w:firstLine="1310"/>
        <w:rPr>
          <w:rFonts w:ascii="Times New Roman" w:eastAsia="Times New Roman" w:hAnsi="Times New Roman" w:cs="Times New Roman"/>
          <w:sz w:val="24"/>
          <w:szCs w:val="24"/>
        </w:rPr>
      </w:pPr>
    </w:p>
    <w:p w:rsidR="004C5008" w:rsidRDefault="007D5A66" w:rsidP="00663423">
      <w:pPr>
        <w:pStyle w:val="NoSpacing"/>
        <w:ind w:firstLine="131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4C5008">
        <w:rPr>
          <w:rFonts w:ascii="Times New Roman" w:eastAsia="Times New Roman" w:hAnsi="Times New Roman" w:cs="Times New Roman"/>
          <w:sz w:val="24"/>
          <w:szCs w:val="24"/>
        </w:rPr>
        <w:t xml:space="preserve">he Exchange has received feedback from market participants as to the efficacy of Standard and Tailor Made Combination Orders.  </w:t>
      </w:r>
      <w:r w:rsidR="002E7D48">
        <w:rPr>
          <w:rFonts w:ascii="Times New Roman" w:eastAsia="Times New Roman" w:hAnsi="Times New Roman" w:cs="Times New Roman"/>
          <w:sz w:val="24"/>
          <w:szCs w:val="24"/>
        </w:rPr>
        <w:t>In light of</w:t>
      </w:r>
      <w:r w:rsidR="004C5008">
        <w:rPr>
          <w:rFonts w:ascii="Times New Roman" w:eastAsia="Times New Roman" w:hAnsi="Times New Roman" w:cs="Times New Roman"/>
          <w:sz w:val="24"/>
          <w:szCs w:val="24"/>
        </w:rPr>
        <w:t xml:space="preserve"> this feedback, the Exchange is amending the list of Standard Combination Orders </w:t>
      </w:r>
      <w:r w:rsidR="002D0305">
        <w:rPr>
          <w:rFonts w:ascii="Times New Roman" w:eastAsia="Times New Roman" w:hAnsi="Times New Roman" w:cs="Times New Roman"/>
          <w:sz w:val="24"/>
          <w:szCs w:val="24"/>
        </w:rPr>
        <w:t xml:space="preserve">currently </w:t>
      </w:r>
      <w:r w:rsidR="004C5008">
        <w:rPr>
          <w:rFonts w:ascii="Times New Roman" w:eastAsia="Times New Roman" w:hAnsi="Times New Roman" w:cs="Times New Roman"/>
          <w:sz w:val="24"/>
          <w:szCs w:val="24"/>
        </w:rPr>
        <w:t>made available to market participants in order to provide a catalogue of instruments</w:t>
      </w:r>
      <w:r w:rsidR="002D0305">
        <w:rPr>
          <w:rFonts w:ascii="Times New Roman" w:eastAsia="Times New Roman" w:hAnsi="Times New Roman" w:cs="Times New Roman"/>
          <w:sz w:val="24"/>
          <w:szCs w:val="24"/>
        </w:rPr>
        <w:t xml:space="preserve"> that will better serve the risk mitigation and speculation needs</w:t>
      </w:r>
      <w:r>
        <w:rPr>
          <w:rFonts w:ascii="Times New Roman" w:eastAsia="Times New Roman" w:hAnsi="Times New Roman" w:cs="Times New Roman"/>
          <w:sz w:val="24"/>
          <w:szCs w:val="24"/>
        </w:rPr>
        <w:t xml:space="preserve"> of its customers</w:t>
      </w:r>
      <w:r w:rsidR="004C5008">
        <w:rPr>
          <w:rFonts w:ascii="Times New Roman" w:eastAsia="Times New Roman" w:hAnsi="Times New Roman" w:cs="Times New Roman"/>
          <w:sz w:val="24"/>
          <w:szCs w:val="24"/>
        </w:rPr>
        <w:t xml:space="preserve">.  </w:t>
      </w:r>
      <w:r w:rsidR="002D0305">
        <w:rPr>
          <w:rFonts w:ascii="Times New Roman" w:eastAsia="Times New Roman" w:hAnsi="Times New Roman" w:cs="Times New Roman"/>
          <w:sz w:val="24"/>
          <w:szCs w:val="24"/>
        </w:rPr>
        <w:t xml:space="preserve">In each case, the </w:t>
      </w:r>
      <w:r>
        <w:rPr>
          <w:rFonts w:ascii="Times New Roman" w:eastAsia="Times New Roman" w:hAnsi="Times New Roman" w:cs="Times New Roman"/>
          <w:sz w:val="24"/>
          <w:szCs w:val="24"/>
        </w:rPr>
        <w:t>Exchange is removing the futures contract which settles on the last trading day of the month and replacing it with a futures contract that settles on the penultimate trading day</w:t>
      </w:r>
      <w:r w:rsidR="00116A69">
        <w:rPr>
          <w:rFonts w:ascii="Times New Roman" w:eastAsia="Times New Roman" w:hAnsi="Times New Roman" w:cs="Times New Roman"/>
          <w:sz w:val="24"/>
          <w:szCs w:val="24"/>
        </w:rPr>
        <w:t xml:space="preserve"> of the month</w:t>
      </w:r>
      <w:r>
        <w:rPr>
          <w:rFonts w:ascii="Times New Roman" w:eastAsia="Times New Roman" w:hAnsi="Times New Roman" w:cs="Times New Roman"/>
          <w:sz w:val="24"/>
          <w:szCs w:val="24"/>
        </w:rPr>
        <w:t xml:space="preserve">. </w:t>
      </w:r>
      <w:r w:rsidR="003B3F92">
        <w:rPr>
          <w:rFonts w:ascii="Times New Roman" w:eastAsia="Times New Roman" w:hAnsi="Times New Roman" w:cs="Times New Roman"/>
          <w:sz w:val="24"/>
          <w:szCs w:val="24"/>
        </w:rPr>
        <w:t xml:space="preserve">The Exchange’s market participants have advised that these combinations would be more advantageous from a trading strategy </w:t>
      </w:r>
      <w:r w:rsidR="00116A69">
        <w:rPr>
          <w:rFonts w:ascii="Times New Roman" w:eastAsia="Times New Roman" w:hAnsi="Times New Roman" w:cs="Times New Roman"/>
          <w:sz w:val="24"/>
          <w:szCs w:val="24"/>
        </w:rPr>
        <w:t xml:space="preserve">and hedging </w:t>
      </w:r>
      <w:r w:rsidR="003B3F92">
        <w:rPr>
          <w:rFonts w:ascii="Times New Roman" w:eastAsia="Times New Roman" w:hAnsi="Times New Roman" w:cs="Times New Roman"/>
          <w:sz w:val="24"/>
          <w:szCs w:val="24"/>
        </w:rPr>
        <w:t xml:space="preserve">perspective.  The affected combinations are listed below and in the attached </w:t>
      </w:r>
      <w:r w:rsidR="00C54A08">
        <w:rPr>
          <w:rFonts w:ascii="Times New Roman" w:eastAsia="Times New Roman" w:hAnsi="Times New Roman" w:cs="Times New Roman"/>
          <w:sz w:val="24"/>
          <w:szCs w:val="24"/>
        </w:rPr>
        <w:t xml:space="preserve">Exhibit </w:t>
      </w:r>
      <w:r w:rsidR="003B3F92">
        <w:rPr>
          <w:rFonts w:ascii="Times New Roman" w:eastAsia="Times New Roman" w:hAnsi="Times New Roman" w:cs="Times New Roman"/>
          <w:sz w:val="24"/>
          <w:szCs w:val="24"/>
        </w:rPr>
        <w:t xml:space="preserve">A.  </w:t>
      </w:r>
    </w:p>
    <w:p w:rsidR="003B3F92" w:rsidRDefault="003B3F92" w:rsidP="00663423">
      <w:pPr>
        <w:pStyle w:val="NoSpacing"/>
        <w:ind w:firstLine="1310"/>
        <w:rPr>
          <w:rFonts w:ascii="Times New Roman" w:eastAsia="Times New Roman" w:hAnsi="Times New Roman" w:cs="Times New Roman"/>
          <w:sz w:val="24"/>
          <w:szCs w:val="24"/>
        </w:rPr>
      </w:pPr>
    </w:p>
    <w:tbl>
      <w:tblPr>
        <w:tblStyle w:val="MediumGrid3-Accent1"/>
        <w:tblW w:w="0" w:type="auto"/>
        <w:tblLook w:val="04A0" w:firstRow="1" w:lastRow="0" w:firstColumn="1" w:lastColumn="0" w:noHBand="0" w:noVBand="1"/>
      </w:tblPr>
      <w:tblGrid>
        <w:gridCol w:w="1658"/>
        <w:gridCol w:w="1960"/>
        <w:gridCol w:w="1980"/>
      </w:tblGrid>
      <w:tr w:rsidR="000A382B" w:rsidRPr="00542AD6" w:rsidTr="00D10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Combo Name</w:t>
            </w:r>
          </w:p>
        </w:tc>
        <w:tc>
          <w:tcPr>
            <w:tcW w:w="1960" w:type="dxa"/>
          </w:tcPr>
          <w:p w:rsidR="000A382B" w:rsidRPr="00542AD6" w:rsidRDefault="000A382B" w:rsidP="00D10F23">
            <w:pPr>
              <w:cnfStyle w:val="100000000000" w:firstRow="1" w:lastRow="0" w:firstColumn="0" w:lastColumn="0" w:oddVBand="0" w:evenVBand="0" w:oddHBand="0" w:evenHBand="0" w:firstRowFirstColumn="0" w:firstRowLastColumn="0" w:lastRowFirstColumn="0" w:lastRowLastColumn="0"/>
            </w:pPr>
            <w:r w:rsidRPr="00542AD6">
              <w:t>Leg1</w:t>
            </w:r>
          </w:p>
        </w:tc>
        <w:tc>
          <w:tcPr>
            <w:tcW w:w="1980" w:type="dxa"/>
          </w:tcPr>
          <w:p w:rsidR="000A382B" w:rsidRPr="00542AD6" w:rsidRDefault="000A382B" w:rsidP="00D10F23">
            <w:pPr>
              <w:cnfStyle w:val="100000000000" w:firstRow="1" w:lastRow="0" w:firstColumn="0" w:lastColumn="0" w:oddVBand="0" w:evenVBand="0" w:oddHBand="0" w:evenHBand="0" w:firstRowFirstColumn="0" w:firstRowLastColumn="0" w:lastRowFirstColumn="0" w:lastRowLastColumn="0"/>
            </w:pPr>
            <w:r w:rsidRPr="00542AD6">
              <w:t>Leg 2</w:t>
            </w:r>
          </w:p>
        </w:tc>
      </w:tr>
      <w:tr w:rsidR="000A382B" w:rsidRPr="00542AD6" w:rsidTr="00D1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Heating Crack</w:t>
            </w:r>
          </w:p>
        </w:tc>
        <w:tc>
          <w:tcPr>
            <w:tcW w:w="1960" w:type="dxa"/>
          </w:tcPr>
          <w:p w:rsidR="000A382B" w:rsidRPr="00542AD6" w:rsidRDefault="000A382B" w:rsidP="000A382B">
            <w:pPr>
              <w:cnfStyle w:val="000000100000" w:firstRow="0" w:lastRow="0" w:firstColumn="0" w:lastColumn="0" w:oddVBand="0" w:evenVBand="0" w:oddHBand="1" w:evenHBand="0" w:firstRowFirstColumn="0" w:firstRowLastColumn="0" w:lastRowFirstColumn="0" w:lastRowLastColumn="0"/>
            </w:pPr>
            <w:r>
              <w:t>WTI (</w:t>
            </w:r>
            <w:r w:rsidRPr="006A0037">
              <w:rPr>
                <w:u w:val="single"/>
              </w:rPr>
              <w:t>TQ</w:t>
            </w:r>
            <w:r w:rsidRPr="006A0037">
              <w:rPr>
                <w:strike/>
              </w:rPr>
              <w:t>CLQ</w:t>
            </w:r>
            <w:r w:rsidRPr="00542AD6">
              <w:t>)</w:t>
            </w:r>
          </w:p>
        </w:tc>
        <w:tc>
          <w:tcPr>
            <w:tcW w:w="1980"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Heating Oil (</w:t>
            </w:r>
            <w:r w:rsidRPr="006A0037">
              <w:rPr>
                <w:strike/>
              </w:rPr>
              <w:t>H</w:t>
            </w:r>
            <w:r w:rsidRPr="00542AD6">
              <w:t>OQ)</w:t>
            </w:r>
          </w:p>
        </w:tc>
      </w:tr>
      <w:tr w:rsidR="000A382B" w:rsidRPr="00542AD6" w:rsidTr="00D10F23">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Gasoline Crack</w:t>
            </w:r>
          </w:p>
        </w:tc>
        <w:tc>
          <w:tcPr>
            <w:tcW w:w="1960" w:type="dxa"/>
          </w:tcPr>
          <w:p w:rsidR="000A382B" w:rsidRPr="00542AD6" w:rsidRDefault="000A382B" w:rsidP="000A382B">
            <w:pPr>
              <w:cnfStyle w:val="000000000000" w:firstRow="0" w:lastRow="0" w:firstColumn="0" w:lastColumn="0" w:oddVBand="0" w:evenVBand="0" w:oddHBand="0" w:evenHBand="0" w:firstRowFirstColumn="0" w:firstRowLastColumn="0" w:lastRowFirstColumn="0" w:lastRowLastColumn="0"/>
            </w:pPr>
            <w:r w:rsidRPr="00542AD6">
              <w:t xml:space="preserve">WTI </w:t>
            </w:r>
            <w:r>
              <w:t>(</w:t>
            </w:r>
            <w:r w:rsidRPr="006A0037">
              <w:rPr>
                <w:u w:val="single"/>
              </w:rPr>
              <w:t>TQ</w:t>
            </w:r>
            <w:r w:rsidRPr="006A0037">
              <w:rPr>
                <w:strike/>
              </w:rPr>
              <w:t>CLQ</w:t>
            </w:r>
            <w:r w:rsidRPr="00542AD6">
              <w:t>)</w:t>
            </w:r>
          </w:p>
        </w:tc>
        <w:tc>
          <w:tcPr>
            <w:tcW w:w="1980" w:type="dxa"/>
          </w:tcPr>
          <w:p w:rsidR="000A382B" w:rsidRPr="00542AD6" w:rsidRDefault="000A382B" w:rsidP="00D10F23">
            <w:pPr>
              <w:cnfStyle w:val="000000000000" w:firstRow="0" w:lastRow="0" w:firstColumn="0" w:lastColumn="0" w:oddVBand="0" w:evenVBand="0" w:oddHBand="0" w:evenHBand="0" w:firstRowFirstColumn="0" w:firstRowLastColumn="0" w:lastRowFirstColumn="0" w:lastRowLastColumn="0"/>
            </w:pPr>
            <w:r w:rsidRPr="00542AD6">
              <w:t>RBOB (R</w:t>
            </w:r>
            <w:r w:rsidRPr="006A0037">
              <w:rPr>
                <w:strike/>
              </w:rPr>
              <w:t>B</w:t>
            </w:r>
            <w:r w:rsidRPr="00542AD6">
              <w:t>Q)</w:t>
            </w:r>
          </w:p>
        </w:tc>
      </w:tr>
      <w:tr w:rsidR="000A382B" w:rsidRPr="00542AD6" w:rsidTr="00D1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Brent Heating Crack</w:t>
            </w:r>
          </w:p>
        </w:tc>
        <w:tc>
          <w:tcPr>
            <w:tcW w:w="1960" w:type="dxa"/>
          </w:tcPr>
          <w:p w:rsidR="000A382B" w:rsidRPr="00542AD6" w:rsidRDefault="000A382B" w:rsidP="000A382B">
            <w:pPr>
              <w:cnfStyle w:val="000000100000" w:firstRow="0" w:lastRow="0" w:firstColumn="0" w:lastColumn="0" w:oddVBand="0" w:evenVBand="0" w:oddHBand="1" w:evenHBand="0" w:firstRowFirstColumn="0" w:firstRowLastColumn="0" w:lastRowFirstColumn="0" w:lastRowLastColumn="0"/>
            </w:pPr>
            <w:r w:rsidRPr="00542AD6">
              <w:t>Brent (BFQ)</w:t>
            </w:r>
          </w:p>
        </w:tc>
        <w:tc>
          <w:tcPr>
            <w:tcW w:w="1980"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Heating Oil (</w:t>
            </w:r>
            <w:r w:rsidRPr="006A0037">
              <w:rPr>
                <w:strike/>
              </w:rPr>
              <w:t>H</w:t>
            </w:r>
            <w:r w:rsidRPr="00542AD6">
              <w:t>OQ)</w:t>
            </w:r>
          </w:p>
        </w:tc>
      </w:tr>
      <w:tr w:rsidR="000A382B" w:rsidRPr="00542AD6" w:rsidTr="00D10F23">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Brent Gasoline Crack</w:t>
            </w:r>
          </w:p>
        </w:tc>
        <w:tc>
          <w:tcPr>
            <w:tcW w:w="1960" w:type="dxa"/>
          </w:tcPr>
          <w:p w:rsidR="000A382B" w:rsidRPr="00542AD6" w:rsidRDefault="000A382B" w:rsidP="000A382B">
            <w:pPr>
              <w:cnfStyle w:val="000000000000" w:firstRow="0" w:lastRow="0" w:firstColumn="0" w:lastColumn="0" w:oddVBand="0" w:evenVBand="0" w:oddHBand="0" w:evenHBand="0" w:firstRowFirstColumn="0" w:firstRowLastColumn="0" w:lastRowFirstColumn="0" w:lastRowLastColumn="0"/>
            </w:pPr>
            <w:r w:rsidRPr="00542AD6">
              <w:t>Brent (BFQ)</w:t>
            </w:r>
          </w:p>
        </w:tc>
        <w:tc>
          <w:tcPr>
            <w:tcW w:w="1980" w:type="dxa"/>
          </w:tcPr>
          <w:p w:rsidR="000A382B" w:rsidRPr="00542AD6" w:rsidRDefault="000A382B" w:rsidP="00D10F23">
            <w:pPr>
              <w:cnfStyle w:val="000000000000" w:firstRow="0" w:lastRow="0" w:firstColumn="0" w:lastColumn="0" w:oddVBand="0" w:evenVBand="0" w:oddHBand="0" w:evenHBand="0" w:firstRowFirstColumn="0" w:firstRowLastColumn="0" w:lastRowFirstColumn="0" w:lastRowLastColumn="0"/>
            </w:pPr>
            <w:r w:rsidRPr="00542AD6">
              <w:t>RBOB (R</w:t>
            </w:r>
            <w:r w:rsidRPr="006A0037">
              <w:rPr>
                <w:strike/>
              </w:rPr>
              <w:t>B</w:t>
            </w:r>
            <w:r w:rsidRPr="00542AD6">
              <w:t>Q)</w:t>
            </w:r>
          </w:p>
        </w:tc>
      </w:tr>
      <w:tr w:rsidR="000A382B" w:rsidRPr="00542AD6" w:rsidTr="00D1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HOGO</w:t>
            </w:r>
          </w:p>
        </w:tc>
        <w:tc>
          <w:tcPr>
            <w:tcW w:w="1960"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 xml:space="preserve">Heating Oil </w:t>
            </w:r>
            <w:r>
              <w:t>(</w:t>
            </w:r>
            <w:r w:rsidRPr="006A0037">
              <w:rPr>
                <w:strike/>
              </w:rPr>
              <w:t>H</w:t>
            </w:r>
            <w:r w:rsidRPr="00542AD6">
              <w:t>OQ)</w:t>
            </w:r>
          </w:p>
        </w:tc>
        <w:tc>
          <w:tcPr>
            <w:tcW w:w="1980" w:type="dxa"/>
          </w:tcPr>
          <w:p w:rsidR="000A382B" w:rsidRPr="00542AD6" w:rsidRDefault="000A382B" w:rsidP="000A382B">
            <w:pPr>
              <w:cnfStyle w:val="000000100000" w:firstRow="0" w:lastRow="0" w:firstColumn="0" w:lastColumn="0" w:oddVBand="0" w:evenVBand="0" w:oddHBand="1" w:evenHBand="0" w:firstRowFirstColumn="0" w:firstRowLastColumn="0" w:lastRowFirstColumn="0" w:lastRowLastColumn="0"/>
            </w:pPr>
            <w:r w:rsidRPr="00542AD6">
              <w:t>Gasoil (GOQ)</w:t>
            </w:r>
          </w:p>
        </w:tc>
      </w:tr>
      <w:tr w:rsidR="000A382B" w:rsidRPr="00542AD6" w:rsidTr="00D10F23">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Widow Maker</w:t>
            </w:r>
          </w:p>
        </w:tc>
        <w:tc>
          <w:tcPr>
            <w:tcW w:w="1960" w:type="dxa"/>
          </w:tcPr>
          <w:p w:rsidR="000A382B" w:rsidRPr="00542AD6" w:rsidRDefault="000A382B" w:rsidP="00D10F23">
            <w:pPr>
              <w:cnfStyle w:val="000000000000" w:firstRow="0" w:lastRow="0" w:firstColumn="0" w:lastColumn="0" w:oddVBand="0" w:evenVBand="0" w:oddHBand="0" w:evenHBand="0" w:firstRowFirstColumn="0" w:firstRowLastColumn="0" w:lastRowFirstColumn="0" w:lastRowLastColumn="0"/>
            </w:pPr>
            <w:r w:rsidRPr="00542AD6">
              <w:t>Heating Oil (</w:t>
            </w:r>
            <w:r w:rsidRPr="006A0037">
              <w:rPr>
                <w:strike/>
              </w:rPr>
              <w:t>H</w:t>
            </w:r>
            <w:r w:rsidRPr="00542AD6">
              <w:t>OQ)</w:t>
            </w:r>
          </w:p>
        </w:tc>
        <w:tc>
          <w:tcPr>
            <w:tcW w:w="1980" w:type="dxa"/>
          </w:tcPr>
          <w:p w:rsidR="000A382B" w:rsidRPr="00542AD6" w:rsidRDefault="000A382B" w:rsidP="00D10F23">
            <w:pPr>
              <w:cnfStyle w:val="000000000000" w:firstRow="0" w:lastRow="0" w:firstColumn="0" w:lastColumn="0" w:oddVBand="0" w:evenVBand="0" w:oddHBand="0" w:evenHBand="0" w:firstRowFirstColumn="0" w:firstRowLastColumn="0" w:lastRowFirstColumn="0" w:lastRowLastColumn="0"/>
            </w:pPr>
            <w:r w:rsidRPr="00542AD6">
              <w:t>RBOB (R</w:t>
            </w:r>
            <w:r w:rsidRPr="006A0037">
              <w:rPr>
                <w:strike/>
              </w:rPr>
              <w:t>B</w:t>
            </w:r>
            <w:r w:rsidRPr="00542AD6">
              <w:t>Q)</w:t>
            </w:r>
          </w:p>
        </w:tc>
      </w:tr>
      <w:tr w:rsidR="000A382B" w:rsidRPr="00542AD6" w:rsidTr="00D1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rsidR="000A382B" w:rsidRPr="00542AD6" w:rsidRDefault="000A382B" w:rsidP="00D10F23">
            <w:r w:rsidRPr="00542AD6">
              <w:t>Crude Hedge</w:t>
            </w:r>
          </w:p>
        </w:tc>
        <w:tc>
          <w:tcPr>
            <w:tcW w:w="1960"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WTI (</w:t>
            </w:r>
            <w:r w:rsidRPr="006A0037">
              <w:rPr>
                <w:u w:val="single"/>
              </w:rPr>
              <w:t>TQ</w:t>
            </w:r>
            <w:r w:rsidRPr="006A0037">
              <w:rPr>
                <w:strike/>
              </w:rPr>
              <w:t>CLQ</w:t>
            </w:r>
            <w:r>
              <w:t>)</w:t>
            </w:r>
          </w:p>
        </w:tc>
        <w:tc>
          <w:tcPr>
            <w:tcW w:w="1980"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Brent (BFQ)</w:t>
            </w:r>
          </w:p>
        </w:tc>
      </w:tr>
    </w:tbl>
    <w:p w:rsidR="003B3F92" w:rsidRDefault="003B3F92" w:rsidP="00663423">
      <w:pPr>
        <w:pStyle w:val="NoSpacing"/>
        <w:ind w:firstLine="1310"/>
        <w:rPr>
          <w:rFonts w:ascii="Times New Roman" w:eastAsia="Times New Roman" w:hAnsi="Times New Roman" w:cs="Times New Roman"/>
          <w:sz w:val="24"/>
          <w:szCs w:val="24"/>
        </w:rPr>
      </w:pPr>
    </w:p>
    <w:tbl>
      <w:tblPr>
        <w:tblStyle w:val="MediumGrid3-Accent1"/>
        <w:tblW w:w="9738" w:type="dxa"/>
        <w:tblLook w:val="04A0" w:firstRow="1" w:lastRow="0" w:firstColumn="1" w:lastColumn="0" w:noHBand="0" w:noVBand="1"/>
      </w:tblPr>
      <w:tblGrid>
        <w:gridCol w:w="2843"/>
        <w:gridCol w:w="1970"/>
        <w:gridCol w:w="2111"/>
        <w:gridCol w:w="2814"/>
      </w:tblGrid>
      <w:tr w:rsidR="000A382B" w:rsidRPr="00542AD6" w:rsidTr="00D10F2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832" w:type="dxa"/>
          </w:tcPr>
          <w:p w:rsidR="000A382B" w:rsidRPr="00542AD6" w:rsidRDefault="000A382B" w:rsidP="00D10F23">
            <w:r w:rsidRPr="00542AD6">
              <w:lastRenderedPageBreak/>
              <w:t>Combo Name</w:t>
            </w:r>
          </w:p>
        </w:tc>
        <w:tc>
          <w:tcPr>
            <w:tcW w:w="1270" w:type="dxa"/>
          </w:tcPr>
          <w:p w:rsidR="000A382B" w:rsidRPr="00542AD6" w:rsidRDefault="000A382B" w:rsidP="00D10F23">
            <w:pPr>
              <w:cnfStyle w:val="100000000000" w:firstRow="1" w:lastRow="0" w:firstColumn="0" w:lastColumn="0" w:oddVBand="0" w:evenVBand="0" w:oddHBand="0" w:evenHBand="0" w:firstRowFirstColumn="0" w:firstRowLastColumn="0" w:lastRowFirstColumn="0" w:lastRowLastColumn="0"/>
            </w:pPr>
            <w:r w:rsidRPr="00542AD6">
              <w:t>Leg1</w:t>
            </w:r>
          </w:p>
        </w:tc>
        <w:tc>
          <w:tcPr>
            <w:tcW w:w="1361" w:type="dxa"/>
          </w:tcPr>
          <w:p w:rsidR="000A382B" w:rsidRPr="00542AD6" w:rsidRDefault="000A382B" w:rsidP="00D10F23">
            <w:pPr>
              <w:cnfStyle w:val="100000000000" w:firstRow="1" w:lastRow="0" w:firstColumn="0" w:lastColumn="0" w:oddVBand="0" w:evenVBand="0" w:oddHBand="0" w:evenHBand="0" w:firstRowFirstColumn="0" w:firstRowLastColumn="0" w:lastRowFirstColumn="0" w:lastRowLastColumn="0"/>
            </w:pPr>
            <w:r w:rsidRPr="00542AD6">
              <w:t>Leg 2</w:t>
            </w:r>
          </w:p>
        </w:tc>
        <w:tc>
          <w:tcPr>
            <w:tcW w:w="1814" w:type="dxa"/>
          </w:tcPr>
          <w:p w:rsidR="000A382B" w:rsidRPr="00542AD6" w:rsidRDefault="000A382B" w:rsidP="00D10F23">
            <w:pPr>
              <w:cnfStyle w:val="100000000000" w:firstRow="1" w:lastRow="0" w:firstColumn="0" w:lastColumn="0" w:oddVBand="0" w:evenVBand="0" w:oddHBand="0" w:evenHBand="0" w:firstRowFirstColumn="0" w:firstRowLastColumn="0" w:lastRowFirstColumn="0" w:lastRowLastColumn="0"/>
            </w:pPr>
            <w:r w:rsidRPr="00542AD6">
              <w:t>Leg 3</w:t>
            </w:r>
          </w:p>
        </w:tc>
      </w:tr>
      <w:tr w:rsidR="000A382B" w:rsidRPr="00542AD6" w:rsidTr="00D10F23">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832" w:type="dxa"/>
          </w:tcPr>
          <w:p w:rsidR="000A382B" w:rsidRPr="00542AD6" w:rsidRDefault="000A382B" w:rsidP="00D10F23">
            <w:r w:rsidRPr="00542AD6">
              <w:t>Diversified Crack</w:t>
            </w:r>
          </w:p>
        </w:tc>
        <w:tc>
          <w:tcPr>
            <w:tcW w:w="1270" w:type="dxa"/>
          </w:tcPr>
          <w:p w:rsidR="000A382B" w:rsidRPr="00542AD6" w:rsidRDefault="000A382B" w:rsidP="000A382B">
            <w:pPr>
              <w:cnfStyle w:val="000000100000" w:firstRow="0" w:lastRow="0" w:firstColumn="0" w:lastColumn="0" w:oddVBand="0" w:evenVBand="0" w:oddHBand="1" w:evenHBand="0" w:firstRowFirstColumn="0" w:firstRowLastColumn="0" w:lastRowFirstColumn="0" w:lastRowLastColumn="0"/>
            </w:pPr>
            <w:r w:rsidRPr="00542AD6">
              <w:t>WTI (</w:t>
            </w:r>
            <w:r w:rsidRPr="006A0037">
              <w:rPr>
                <w:u w:val="single"/>
              </w:rPr>
              <w:t>TQ</w:t>
            </w:r>
            <w:r w:rsidRPr="006A0037">
              <w:rPr>
                <w:strike/>
              </w:rPr>
              <w:t>CLQ</w:t>
            </w:r>
            <w:r w:rsidRPr="00542AD6">
              <w:t>)</w:t>
            </w:r>
          </w:p>
        </w:tc>
        <w:tc>
          <w:tcPr>
            <w:tcW w:w="1361"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RBOB  (R</w:t>
            </w:r>
            <w:r w:rsidRPr="006A0037">
              <w:rPr>
                <w:strike/>
              </w:rPr>
              <w:t>B</w:t>
            </w:r>
            <w:r w:rsidRPr="00542AD6">
              <w:t>Q)</w:t>
            </w:r>
          </w:p>
        </w:tc>
        <w:tc>
          <w:tcPr>
            <w:tcW w:w="1814" w:type="dxa"/>
          </w:tcPr>
          <w:p w:rsidR="000A382B" w:rsidRPr="00542AD6" w:rsidRDefault="000A382B" w:rsidP="00D10F23">
            <w:pPr>
              <w:cnfStyle w:val="000000100000" w:firstRow="0" w:lastRow="0" w:firstColumn="0" w:lastColumn="0" w:oddVBand="0" w:evenVBand="0" w:oddHBand="1" w:evenHBand="0" w:firstRowFirstColumn="0" w:firstRowLastColumn="0" w:lastRowFirstColumn="0" w:lastRowLastColumn="0"/>
            </w:pPr>
            <w:r w:rsidRPr="00542AD6">
              <w:t>Heating Oil (</w:t>
            </w:r>
            <w:r w:rsidRPr="006A0037">
              <w:rPr>
                <w:strike/>
              </w:rPr>
              <w:t>H</w:t>
            </w:r>
            <w:r w:rsidRPr="00542AD6">
              <w:t>OQ)</w:t>
            </w:r>
          </w:p>
        </w:tc>
      </w:tr>
    </w:tbl>
    <w:p w:rsidR="000A382B" w:rsidRDefault="000A382B" w:rsidP="00663423">
      <w:pPr>
        <w:pStyle w:val="NoSpacing"/>
        <w:ind w:firstLine="1310"/>
        <w:rPr>
          <w:rFonts w:ascii="Times New Roman" w:eastAsia="Times New Roman" w:hAnsi="Times New Roman" w:cs="Times New Roman"/>
          <w:sz w:val="24"/>
          <w:szCs w:val="24"/>
        </w:rPr>
      </w:pPr>
    </w:p>
    <w:p w:rsidR="004C5008" w:rsidRDefault="004C5008" w:rsidP="00663423">
      <w:pPr>
        <w:pStyle w:val="NoSpacing"/>
        <w:ind w:firstLine="1310"/>
        <w:rPr>
          <w:rFonts w:ascii="Times New Roman" w:eastAsia="Times New Roman" w:hAnsi="Times New Roman" w:cs="Times New Roman"/>
          <w:sz w:val="24"/>
          <w:szCs w:val="24"/>
        </w:rPr>
      </w:pPr>
    </w:p>
    <w:p w:rsidR="004A3B90" w:rsidRDefault="00091E70" w:rsidP="004A3B90">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The Exchange conforms the </w:t>
      </w:r>
      <w:r w:rsidR="007D5A66">
        <w:rPr>
          <w:rFonts w:ascii="Times New Roman" w:eastAsia="Calibri" w:hAnsi="Times New Roman" w:cs="Times New Roman"/>
          <w:sz w:val="24"/>
          <w:szCs w:val="24"/>
        </w:rPr>
        <w:t xml:space="preserve">Standard Combination Orders Reference </w:t>
      </w:r>
      <w:r w:rsidR="00161833">
        <w:rPr>
          <w:rFonts w:ascii="Times New Roman" w:eastAsia="Calibri" w:hAnsi="Times New Roman" w:cs="Times New Roman"/>
          <w:sz w:val="24"/>
          <w:szCs w:val="24"/>
        </w:rPr>
        <w:t xml:space="preserve">Guide to reflect these </w:t>
      </w:r>
      <w:r w:rsidR="007D5A66">
        <w:rPr>
          <w:rFonts w:ascii="Times New Roman" w:eastAsia="Calibri" w:hAnsi="Times New Roman" w:cs="Times New Roman"/>
          <w:sz w:val="24"/>
          <w:szCs w:val="24"/>
        </w:rPr>
        <w:t xml:space="preserve">change.  </w:t>
      </w:r>
      <w:r w:rsidR="00BA10B8">
        <w:rPr>
          <w:rFonts w:ascii="Times New Roman" w:eastAsia="Calibri" w:hAnsi="Times New Roman" w:cs="Times New Roman"/>
          <w:sz w:val="24"/>
          <w:szCs w:val="24"/>
        </w:rPr>
        <w:t xml:space="preserve">The Exchange </w:t>
      </w:r>
      <w:r w:rsidR="00BA10B8" w:rsidRPr="00DB2459">
        <w:rPr>
          <w:rFonts w:ascii="Times New Roman" w:eastAsia="Calibri" w:hAnsi="Times New Roman" w:cs="Times New Roman"/>
          <w:sz w:val="24"/>
          <w:szCs w:val="24"/>
        </w:rPr>
        <w:t xml:space="preserve">certifies that the amendments comply with the </w:t>
      </w:r>
      <w:r w:rsidR="003E57F2">
        <w:rPr>
          <w:rFonts w:ascii="Times New Roman" w:eastAsia="Calibri" w:hAnsi="Times New Roman" w:cs="Times New Roman"/>
          <w:sz w:val="24"/>
          <w:szCs w:val="24"/>
        </w:rPr>
        <w:t xml:space="preserve">Act and, specifically, </w:t>
      </w:r>
      <w:r w:rsidR="0074395E">
        <w:rPr>
          <w:rFonts w:ascii="Times New Roman" w:eastAsia="Calibri" w:hAnsi="Times New Roman" w:cs="Times New Roman"/>
          <w:sz w:val="24"/>
          <w:szCs w:val="24"/>
        </w:rPr>
        <w:t xml:space="preserve">the following </w:t>
      </w:r>
      <w:r w:rsidR="004A3B90" w:rsidRPr="00F07D11">
        <w:rPr>
          <w:rFonts w:ascii="Times New Roman" w:eastAsia="Calibri" w:hAnsi="Times New Roman" w:cs="Times New Roman"/>
          <w:sz w:val="24"/>
          <w:szCs w:val="24"/>
        </w:rPr>
        <w:t>designated contract market cor</w:t>
      </w:r>
      <w:r w:rsidR="0074395E">
        <w:rPr>
          <w:rFonts w:ascii="Times New Roman" w:eastAsia="Calibri" w:hAnsi="Times New Roman" w:cs="Times New Roman"/>
          <w:sz w:val="24"/>
          <w:szCs w:val="24"/>
        </w:rPr>
        <w:t>e principles</w:t>
      </w:r>
      <w:r w:rsidR="004A3B90" w:rsidRPr="00F07D11">
        <w:rPr>
          <w:rFonts w:ascii="Times New Roman" w:eastAsia="Calibri" w:hAnsi="Times New Roman" w:cs="Times New Roman"/>
          <w:sz w:val="24"/>
          <w:szCs w:val="24"/>
        </w:rPr>
        <w:t xml:space="preserve">: </w:t>
      </w:r>
    </w:p>
    <w:p w:rsidR="00006964" w:rsidRDefault="00006964" w:rsidP="00006964">
      <w:pPr>
        <w:pStyle w:val="Default"/>
        <w:spacing w:after="27"/>
        <w:ind w:left="720" w:right="720"/>
        <w:jc w:val="both"/>
        <w:rPr>
          <w:color w:val="auto"/>
        </w:rPr>
      </w:pPr>
    </w:p>
    <w:p w:rsidR="00006964" w:rsidRPr="00006964" w:rsidRDefault="00006964" w:rsidP="00897DEB">
      <w:pPr>
        <w:pStyle w:val="Default"/>
        <w:spacing w:after="27"/>
        <w:ind w:firstLine="1310"/>
        <w:rPr>
          <w:color w:val="auto"/>
        </w:rPr>
      </w:pPr>
      <w:r w:rsidRPr="006F6885">
        <w:rPr>
          <w:color w:val="auto"/>
        </w:rPr>
        <w:t xml:space="preserve">• </w:t>
      </w:r>
      <w:r w:rsidRPr="00006964">
        <w:rPr>
          <w:color w:val="auto"/>
        </w:rPr>
        <w:t>Compliance with Rules</w:t>
      </w:r>
      <w:r>
        <w:rPr>
          <w:color w:val="auto"/>
        </w:rPr>
        <w:t xml:space="preserve">. </w:t>
      </w:r>
      <w:r w:rsidRPr="006F6885">
        <w:rPr>
          <w:color w:val="auto"/>
        </w:rPr>
        <w:t xml:space="preserve"> </w:t>
      </w:r>
      <w:r>
        <w:rPr>
          <w:color w:val="auto"/>
        </w:rPr>
        <w:t xml:space="preserve">The </w:t>
      </w:r>
      <w:r w:rsidRPr="006F6885">
        <w:rPr>
          <w:color w:val="auto"/>
        </w:rPr>
        <w:t xml:space="preserve">Exchange </w:t>
      </w:r>
      <w:r>
        <w:rPr>
          <w:color w:val="auto"/>
        </w:rPr>
        <w:t xml:space="preserve">specifies </w:t>
      </w:r>
      <w:r w:rsidRPr="006F6885">
        <w:rPr>
          <w:color w:val="auto"/>
        </w:rPr>
        <w:t>the manner in which Futures Participants may access and trade on NFX.  Chapter II, Section I provides for the qualifications and ru</w:t>
      </w:r>
      <w:r>
        <w:rPr>
          <w:color w:val="auto"/>
        </w:rPr>
        <w:t>les of participation applicable</w:t>
      </w:r>
      <w:r w:rsidRPr="006F6885">
        <w:rPr>
          <w:color w:val="auto"/>
        </w:rPr>
        <w:t xml:space="preserve"> to Futures Participants as well as Authorized Traders.  Futures Participants must util</w:t>
      </w:r>
      <w:r>
        <w:rPr>
          <w:color w:val="auto"/>
        </w:rPr>
        <w:t xml:space="preserve">ize the Exchange’s services in </w:t>
      </w:r>
      <w:r w:rsidRPr="006F6885">
        <w:rPr>
          <w:color w:val="auto"/>
        </w:rPr>
        <w:t xml:space="preserve">a responsible manner, comply with Rules, cooperate with Exchange investigations and inquiries and observe high standards </w:t>
      </w:r>
      <w:r>
        <w:rPr>
          <w:color w:val="auto"/>
        </w:rPr>
        <w:t>of integrity.  In addition the R</w:t>
      </w:r>
      <w:r w:rsidRPr="006F6885">
        <w:rPr>
          <w:color w:val="auto"/>
        </w:rPr>
        <w:t>ule provides clear and transparent access criteria and requirements for Futures Participants and Authorized Traders</w:t>
      </w:r>
      <w:r>
        <w:rPr>
          <w:color w:val="auto"/>
        </w:rPr>
        <w:t xml:space="preserve">. </w:t>
      </w:r>
      <w:r w:rsidRPr="006F6885">
        <w:rPr>
          <w:color w:val="auto"/>
        </w:rPr>
        <w:t xml:space="preserve"> </w:t>
      </w:r>
      <w:r>
        <w:rPr>
          <w:color w:val="auto"/>
        </w:rPr>
        <w:t>Chapter V, Section 18 describes prohibited activities with respect to the Trading System.</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4A3B90">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Availability of Contract Information.  The Exchange has indicated within its trading Rules where specific information relates to a particular Contract.  The Exchange provides detailed information within the contract specifications for that particular Contract.  The Exchange also posts the terms and conditions of Exchange Contracts in its Rulebook along with trading Rules.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897DEB">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Execution of Transactions.  The Exchange operates an electronic trading facility that provides Futures Participants with the ability to execute Orders within the Exchange’s Order Book and offers within a predetermined automated trade matching and execution algorithm.  Orders submitted into the Trading System will be matched in Price-Time priority.  The Exchange specifies the types of Orders that will be accepted by the Trading System in Chapter IV, Section 4.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4A3B90">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Protection of market participants.  Chapter III of the Exchange’s Rulebook contains prohibitions precluding intermediaries from disadvantaging their customers.  These rules apply to trading in all Contracts.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130944" w:rsidRDefault="004A3B90" w:rsidP="004A3B90">
      <w:pPr>
        <w:pStyle w:val="NoSpacing"/>
        <w:ind w:firstLine="1310"/>
        <w:rPr>
          <w:rFonts w:ascii="Times New Roman" w:eastAsia="Calibri" w:hAnsi="Times New Roman" w:cs="Times New Roman"/>
          <w:sz w:val="24"/>
          <w:szCs w:val="24"/>
        </w:rPr>
      </w:pPr>
      <w:r w:rsidRPr="00130944">
        <w:rPr>
          <w:rFonts w:ascii="Times New Roman" w:eastAsia="Calibri" w:hAnsi="Times New Roman" w:cs="Times New Roman"/>
          <w:sz w:val="24"/>
          <w:szCs w:val="24"/>
        </w:rPr>
        <w:t>There were no opposing views among the Exchange’s Board of Directors, members or market participants.  The Exchange hereby certifies that the amendme</w:t>
      </w:r>
      <w:r w:rsidR="000A77C4" w:rsidRPr="00130944">
        <w:rPr>
          <w:rFonts w:ascii="Times New Roman" w:eastAsia="Calibri" w:hAnsi="Times New Roman" w:cs="Times New Roman"/>
          <w:sz w:val="24"/>
          <w:szCs w:val="24"/>
        </w:rPr>
        <w:t xml:space="preserve">nts to </w:t>
      </w:r>
      <w:r w:rsidR="00236217" w:rsidRPr="00130944">
        <w:rPr>
          <w:rFonts w:ascii="Times New Roman" w:eastAsia="Calibri" w:hAnsi="Times New Roman" w:cs="Times New Roman"/>
          <w:sz w:val="24"/>
          <w:szCs w:val="24"/>
        </w:rPr>
        <w:t xml:space="preserve">the General Reference Guide </w:t>
      </w:r>
      <w:r w:rsidRPr="00130944">
        <w:rPr>
          <w:rFonts w:ascii="Times New Roman" w:eastAsia="Calibri" w:hAnsi="Times New Roman" w:cs="Times New Roman"/>
          <w:sz w:val="24"/>
          <w:szCs w:val="24"/>
        </w:rPr>
        <w:t>compl</w:t>
      </w:r>
      <w:r w:rsidR="00D90E5E" w:rsidRPr="00130944">
        <w:rPr>
          <w:rFonts w:ascii="Times New Roman" w:eastAsia="Calibri" w:hAnsi="Times New Roman" w:cs="Times New Roman"/>
          <w:sz w:val="24"/>
          <w:szCs w:val="24"/>
        </w:rPr>
        <w:t>y</w:t>
      </w:r>
      <w:r w:rsidRPr="00130944">
        <w:rPr>
          <w:rFonts w:ascii="Times New Roman" w:eastAsia="Calibri" w:hAnsi="Times New Roman" w:cs="Times New Roman"/>
          <w:sz w:val="24"/>
          <w:szCs w:val="24"/>
        </w:rPr>
        <w:t xml:space="preserve"> with the Commodity Exchange Act and regulations thereunder.  The Exchange also certifies that a notice of pending certification with the Commission and a copy of this submission have been concurrently posted on the Exchange’s website at</w:t>
      </w:r>
      <w:r w:rsidR="00130944" w:rsidRPr="00130944">
        <w:rPr>
          <w:rFonts w:ascii="Times New Roman" w:hAnsi="Times New Roman" w:cs="Times New Roman"/>
          <w:sz w:val="24"/>
          <w:szCs w:val="24"/>
        </w:rPr>
        <w:t xml:space="preserve"> </w:t>
      </w:r>
      <w:hyperlink r:id="rId11" w:history="1">
        <w:r w:rsidR="00130944" w:rsidRPr="00130944">
          <w:rPr>
            <w:rStyle w:val="Hyperlink"/>
            <w:rFonts w:ascii="Times New Roman" w:hAnsi="Times New Roman" w:cs="Times New Roman"/>
            <w:sz w:val="24"/>
            <w:szCs w:val="24"/>
          </w:rPr>
          <w:t>business.nasdaq.com/futures</w:t>
        </w:r>
      </w:hyperlink>
      <w:r w:rsidRPr="00130944">
        <w:rPr>
          <w:rFonts w:ascii="Times New Roman" w:eastAsia="Calibri" w:hAnsi="Times New Roman" w:cs="Times New Roman"/>
          <w:sz w:val="24"/>
          <w:szCs w:val="24"/>
        </w:rPr>
        <w:t>.</w:t>
      </w:r>
    </w:p>
    <w:p w:rsidR="004E0D16" w:rsidRPr="00130944" w:rsidRDefault="004E0D16" w:rsidP="004E0D16">
      <w:pPr>
        <w:pStyle w:val="NoSpacing"/>
        <w:ind w:firstLine="1310"/>
        <w:rPr>
          <w:rFonts w:ascii="Times New Roman" w:eastAsia="Calibri" w:hAnsi="Times New Roman" w:cs="Times New Roman"/>
          <w:sz w:val="24"/>
          <w:szCs w:val="24"/>
        </w:rPr>
      </w:pPr>
    </w:p>
    <w:p w:rsidR="002B56C0" w:rsidRPr="00F07D11" w:rsidRDefault="004A3B90" w:rsidP="00314DE6">
      <w:pPr>
        <w:keepNext/>
        <w:spacing w:after="0" w:line="240" w:lineRule="auto"/>
        <w:ind w:firstLine="1310"/>
        <w:rPr>
          <w:rFonts w:ascii="Times New Roman" w:hAnsi="Times New Roman" w:cs="Times New Roman"/>
          <w:spacing w:val="-6"/>
          <w:sz w:val="24"/>
          <w:szCs w:val="24"/>
        </w:rPr>
      </w:pPr>
      <w:r w:rsidRPr="00F07D11">
        <w:rPr>
          <w:rFonts w:ascii="Times New Roman" w:hAnsi="Times New Roman" w:cs="Times New Roman"/>
          <w:spacing w:val="-6"/>
          <w:sz w:val="24"/>
          <w:szCs w:val="24"/>
        </w:rPr>
        <w:lastRenderedPageBreak/>
        <w:t>If you require any additional information regarding the submission, please contact A</w:t>
      </w:r>
      <w:r w:rsidR="00D47C4E">
        <w:rPr>
          <w:rFonts w:ascii="Times New Roman" w:hAnsi="Times New Roman" w:cs="Times New Roman"/>
          <w:spacing w:val="-6"/>
          <w:sz w:val="24"/>
          <w:szCs w:val="24"/>
        </w:rPr>
        <w:t>ravind Menon</w:t>
      </w:r>
      <w:r w:rsidRPr="00F07D11">
        <w:rPr>
          <w:rFonts w:ascii="Times New Roman" w:hAnsi="Times New Roman" w:cs="Times New Roman"/>
          <w:spacing w:val="-6"/>
          <w:sz w:val="24"/>
          <w:szCs w:val="24"/>
        </w:rPr>
        <w:t xml:space="preserve"> at +1</w:t>
      </w:r>
      <w:r w:rsidR="00D47C4E">
        <w:rPr>
          <w:rFonts w:ascii="Times New Roman" w:hAnsi="Times New Roman" w:cs="Times New Roman"/>
          <w:spacing w:val="-6"/>
          <w:sz w:val="24"/>
          <w:szCs w:val="24"/>
        </w:rPr>
        <w:t>-301-978-8416</w:t>
      </w:r>
      <w:r w:rsidRPr="00F07D11">
        <w:rPr>
          <w:rFonts w:ascii="Times New Roman" w:hAnsi="Times New Roman" w:cs="Times New Roman"/>
          <w:spacing w:val="-6"/>
          <w:sz w:val="24"/>
          <w:szCs w:val="24"/>
        </w:rPr>
        <w:t xml:space="preserve"> or via e-mail at a</w:t>
      </w:r>
      <w:r w:rsidR="00D47C4E">
        <w:rPr>
          <w:rFonts w:ascii="Times New Roman" w:hAnsi="Times New Roman" w:cs="Times New Roman"/>
          <w:spacing w:val="-6"/>
          <w:sz w:val="24"/>
          <w:szCs w:val="24"/>
        </w:rPr>
        <w:t>ravind</w:t>
      </w:r>
      <w:r w:rsidRPr="00F07D11">
        <w:rPr>
          <w:rFonts w:ascii="Times New Roman" w:hAnsi="Times New Roman" w:cs="Times New Roman"/>
          <w:spacing w:val="-6"/>
          <w:sz w:val="24"/>
          <w:szCs w:val="24"/>
        </w:rPr>
        <w:t>.</w:t>
      </w:r>
      <w:r w:rsidR="00D47C4E">
        <w:rPr>
          <w:rFonts w:ascii="Times New Roman" w:hAnsi="Times New Roman" w:cs="Times New Roman"/>
          <w:spacing w:val="-6"/>
          <w:sz w:val="24"/>
          <w:szCs w:val="24"/>
        </w:rPr>
        <w:t>menon</w:t>
      </w:r>
      <w:r w:rsidRPr="00F07D11">
        <w:rPr>
          <w:rFonts w:ascii="Times New Roman" w:hAnsi="Times New Roman" w:cs="Times New Roman"/>
          <w:spacing w:val="-6"/>
          <w:sz w:val="24"/>
          <w:szCs w:val="24"/>
        </w:rPr>
        <w:t xml:space="preserve">@nasdaq.com. </w:t>
      </w:r>
      <w:r w:rsidR="00245B22">
        <w:rPr>
          <w:rFonts w:ascii="Times New Roman" w:hAnsi="Times New Roman" w:cs="Times New Roman"/>
          <w:spacing w:val="-6"/>
          <w:sz w:val="24"/>
          <w:szCs w:val="24"/>
        </w:rPr>
        <w:t xml:space="preserve"> Please reference SR-</w:t>
      </w:r>
      <w:r w:rsidR="00245B22" w:rsidRPr="0092519E">
        <w:rPr>
          <w:rFonts w:ascii="Times New Roman" w:hAnsi="Times New Roman" w:cs="Times New Roman"/>
          <w:spacing w:val="-6"/>
          <w:sz w:val="24"/>
          <w:szCs w:val="24"/>
        </w:rPr>
        <w:t>NFX-2016-</w:t>
      </w:r>
      <w:r w:rsidR="00C13E82">
        <w:rPr>
          <w:rFonts w:ascii="Times New Roman" w:hAnsi="Times New Roman" w:cs="Times New Roman"/>
          <w:spacing w:val="-6"/>
          <w:sz w:val="24"/>
          <w:szCs w:val="24"/>
        </w:rPr>
        <w:t>84</w:t>
      </w:r>
      <w:r w:rsidRPr="0092519E">
        <w:rPr>
          <w:rFonts w:ascii="Times New Roman" w:hAnsi="Times New Roman" w:cs="Times New Roman"/>
          <w:spacing w:val="-6"/>
          <w:sz w:val="24"/>
          <w:szCs w:val="24"/>
        </w:rPr>
        <w:t xml:space="preserve"> in</w:t>
      </w:r>
      <w:r w:rsidRPr="00F07D11">
        <w:rPr>
          <w:rFonts w:ascii="Times New Roman" w:hAnsi="Times New Roman" w:cs="Times New Roman"/>
          <w:spacing w:val="-6"/>
          <w:sz w:val="24"/>
          <w:szCs w:val="24"/>
        </w:rPr>
        <w:t xml:space="preserve"> any related correspondence.</w:t>
      </w:r>
    </w:p>
    <w:p w:rsidR="002B56C0" w:rsidRPr="00F07D11" w:rsidRDefault="002B56C0" w:rsidP="002B56C0">
      <w:pPr>
        <w:pStyle w:val="NoSpacing"/>
        <w:keepNext/>
        <w:rPr>
          <w:rFonts w:ascii="Times New Roman" w:eastAsia="Times New Roman" w:hAnsi="Times New Roman" w:cs="Times New Roman"/>
          <w:sz w:val="24"/>
          <w:szCs w:val="24"/>
        </w:rPr>
      </w:pPr>
    </w:p>
    <w:p w:rsidR="002B56C0" w:rsidRPr="00F07D11" w:rsidRDefault="002B56C0" w:rsidP="002B56C0">
      <w:pPr>
        <w:pStyle w:val="NoSpacing"/>
        <w:keepNext/>
        <w:rPr>
          <w:rFonts w:ascii="Times New Roman" w:eastAsia="Calibri" w:hAnsi="Times New Roman" w:cs="Times New Roman"/>
          <w:sz w:val="24"/>
          <w:szCs w:val="24"/>
        </w:rPr>
      </w:pPr>
      <w:r w:rsidRPr="00F07D11">
        <w:rPr>
          <w:rFonts w:ascii="Times New Roman" w:eastAsia="Calibri" w:hAnsi="Times New Roman" w:cs="Times New Roman"/>
          <w:noProof/>
          <w:sz w:val="24"/>
          <w:szCs w:val="24"/>
        </w:rPr>
        <w:drawing>
          <wp:anchor distT="0" distB="0" distL="114300" distR="114300" simplePos="0" relativeHeight="251657728" behindDoc="1" locked="0" layoutInCell="1" allowOverlap="1" wp14:anchorId="73615DE6" wp14:editId="795C451A">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F07D11" w:rsidRDefault="002B56C0" w:rsidP="002B56C0">
      <w:pPr>
        <w:pStyle w:val="NoSpacing"/>
        <w:keepNext/>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Regards,</w:t>
      </w:r>
    </w:p>
    <w:p w:rsidR="002B56C0" w:rsidRPr="00F07D11" w:rsidRDefault="002B56C0" w:rsidP="002B56C0">
      <w:pPr>
        <w:pStyle w:val="NoSpacing"/>
        <w:keepNext/>
        <w:ind w:left="2880" w:firstLine="720"/>
        <w:rPr>
          <w:rFonts w:ascii="Times New Roman" w:hAnsi="Times New Roman"/>
          <w:sz w:val="24"/>
        </w:rPr>
      </w:pPr>
    </w:p>
    <w:p w:rsidR="002B56C0" w:rsidRPr="00F07D11" w:rsidRDefault="002B56C0" w:rsidP="002B56C0">
      <w:pPr>
        <w:pStyle w:val="NoSpacing"/>
        <w:keepNext/>
        <w:ind w:left="2880" w:firstLine="720"/>
        <w:rPr>
          <w:rFonts w:ascii="Times New Roman" w:eastAsia="Calibri" w:hAnsi="Times New Roman" w:cs="Times New Roman"/>
          <w:sz w:val="24"/>
          <w:szCs w:val="24"/>
        </w:rPr>
      </w:pPr>
    </w:p>
    <w:p w:rsidR="002B56C0" w:rsidRPr="00F07D11" w:rsidRDefault="002B56C0" w:rsidP="002B56C0">
      <w:pPr>
        <w:pStyle w:val="NoSpacing"/>
        <w:keepNext/>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Daniel R. Carrigan</w:t>
      </w:r>
    </w:p>
    <w:p w:rsidR="002B56C0" w:rsidRPr="00F07D11" w:rsidRDefault="002B56C0" w:rsidP="002B56C0">
      <w:pPr>
        <w:pStyle w:val="NoSpacing"/>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President</w:t>
      </w:r>
    </w:p>
    <w:p w:rsidR="002B56C0" w:rsidRPr="00F07D11" w:rsidRDefault="002B56C0" w:rsidP="002B56C0">
      <w:pPr>
        <w:pStyle w:val="NoSpacing"/>
        <w:rPr>
          <w:rFonts w:ascii="Times New Roman" w:eastAsia="Calibri" w:hAnsi="Times New Roman" w:cs="Times New Roman"/>
          <w:sz w:val="24"/>
          <w:szCs w:val="24"/>
        </w:rPr>
      </w:pPr>
    </w:p>
    <w:p w:rsidR="002B56C0" w:rsidRPr="00F07D11" w:rsidRDefault="002B56C0" w:rsidP="002B56C0">
      <w:pPr>
        <w:pStyle w:val="NoSpacing"/>
        <w:rPr>
          <w:rFonts w:ascii="Times New Roman" w:eastAsia="Calibri" w:hAnsi="Times New Roman" w:cs="Times New Roman"/>
          <w:sz w:val="24"/>
          <w:szCs w:val="24"/>
        </w:rPr>
      </w:pPr>
    </w:p>
    <w:p w:rsidR="00161833" w:rsidRPr="003F0ED1" w:rsidRDefault="00161833" w:rsidP="00B17E44">
      <w:pPr>
        <w:spacing w:after="0" w:line="240" w:lineRule="auto"/>
        <w:rPr>
          <w:rFonts w:ascii="Times New Roman" w:hAnsi="Times New Roman" w:cs="Times New Roman"/>
          <w:i/>
          <w:sz w:val="24"/>
          <w:szCs w:val="24"/>
        </w:rPr>
      </w:pPr>
      <w:bookmarkStart w:id="1" w:name="sx-policymanual-phlx-philabot"/>
      <w:bookmarkStart w:id="2" w:name="chp_1_1"/>
      <w:bookmarkEnd w:id="1"/>
      <w:bookmarkEnd w:id="2"/>
    </w:p>
    <w:sectPr w:rsidR="00161833" w:rsidRPr="003F0ED1" w:rsidSect="005444C0">
      <w:headerReference w:type="default" r:id="rId13"/>
      <w:headerReference w:type="first" r:id="rId14"/>
      <w:footerReference w:type="first" r:id="rId15"/>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3A1" w:rsidRDefault="00A773A1">
      <w:r>
        <w:separator/>
      </w:r>
    </w:p>
  </w:endnote>
  <w:endnote w:type="continuationSeparator" w:id="0">
    <w:p w:rsidR="00A773A1" w:rsidRDefault="00A7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CF4A4A6-59E8-4447-A7ED-C14BC04C44F3}"/>
    <w:embedBold r:id="rId2" w:fontKey="{B99A7B6E-371A-46A0-B875-6C167D9D36D8}"/>
    <w:embedItalic r:id="rId3" w:fontKey="{CBACFB56-6A31-46C8-8A2B-5D9E3095FBC8}"/>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9FDE2C1F-9ABF-4DCD-A88D-5567B703E17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3A1" w:rsidRDefault="00A773A1">
      <w:r>
        <w:separator/>
      </w:r>
    </w:p>
  </w:footnote>
  <w:footnote w:type="continuationSeparator" w:id="0">
    <w:p w:rsidR="00A773A1" w:rsidRDefault="00A773A1">
      <w:r>
        <w:continuationSeparator/>
      </w:r>
    </w:p>
  </w:footnote>
  <w:footnote w:id="1">
    <w:p w:rsidR="00FC7000" w:rsidRDefault="00FC7000">
      <w:pPr>
        <w:pStyle w:val="FootnoteText"/>
      </w:pPr>
      <w:r>
        <w:rPr>
          <w:rStyle w:val="FootnoteReference"/>
        </w:rPr>
        <w:footnoteRef/>
      </w:r>
      <w:r>
        <w:t xml:space="preserve"> See Standard Combination Orders Reference Guide for a description o</w:t>
      </w:r>
      <w:r w:rsidR="00D47C4E">
        <w:t>f</w:t>
      </w:r>
      <w:r>
        <w:t xml:space="preserve"> the use and operation of Standard Combination Orders.  </w:t>
      </w:r>
      <w:hyperlink r:id="rId1" w:history="1">
        <w:r w:rsidRPr="005A1BDC">
          <w:rPr>
            <w:rStyle w:val="Hyperlink"/>
          </w:rPr>
          <w:t>http://nasdaqomxphlx.cchwallstreet.com/NASDAQOMXPHLX/pdf/Standard%20Combination%20Orders%20Reference%20Guide.pdf</w:t>
        </w:r>
      </w:hyperlink>
      <w:r>
        <w:t xml:space="preserve"> </w:t>
      </w:r>
    </w:p>
    <w:p w:rsidR="00D47C4E" w:rsidRDefault="00D47C4E">
      <w:pPr>
        <w:pStyle w:val="FootnoteText"/>
      </w:pPr>
    </w:p>
  </w:footnote>
  <w:footnote w:id="2">
    <w:p w:rsidR="00FC7000" w:rsidRDefault="00FC7000">
      <w:pPr>
        <w:pStyle w:val="FootnoteText"/>
      </w:pPr>
      <w:r>
        <w:rPr>
          <w:rStyle w:val="FootnoteReference"/>
        </w:rPr>
        <w:footnoteRef/>
      </w:r>
      <w:r>
        <w:t xml:space="preserve"> See Tailor Made Combination Orders Reference Guide for a description o</w:t>
      </w:r>
      <w:r w:rsidR="00D47C4E">
        <w:t>f</w:t>
      </w:r>
      <w:r>
        <w:t xml:space="preserve"> the use and operation of Tailor Made Combination Orders.  </w:t>
      </w:r>
      <w:hyperlink r:id="rId2" w:history="1">
        <w:r w:rsidRPr="005A1BDC">
          <w:rPr>
            <w:rStyle w:val="Hyperlink"/>
          </w:rPr>
          <w:t>http://nasdaqomxphlx.cchwallstreet.com/NASDAQOMXPHLX/pdf/tailor%20made%20combinations%20reference%20guide.pdf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2D0305"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September 12</w:t>
    </w:r>
    <w:r w:rsidR="0092519E">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sidRPr="00245B22">
      <w:rPr>
        <w:rFonts w:ascii="Times New Roman" w:hAnsi="Times New Roman" w:cs="Times New Roman"/>
        <w:sz w:val="20"/>
        <w:szCs w:val="20"/>
      </w:rPr>
      <w:t>SR-NFX-2016</w:t>
    </w:r>
    <w:r w:rsidR="00371610" w:rsidRPr="00245B22">
      <w:rPr>
        <w:rFonts w:ascii="Times New Roman" w:hAnsi="Times New Roman" w:cs="Times New Roman"/>
        <w:sz w:val="20"/>
        <w:szCs w:val="20"/>
      </w:rPr>
      <w:t>-</w:t>
    </w:r>
    <w:r w:rsidR="00D97677">
      <w:rPr>
        <w:rFonts w:ascii="Times New Roman" w:hAnsi="Times New Roman" w:cs="Times New Roman"/>
        <w:sz w:val="20"/>
        <w:szCs w:val="20"/>
      </w:rPr>
      <w:t>84</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B06533">
      <w:rPr>
        <w:rFonts w:ascii="Times New Roman" w:hAnsi="Times New Roman" w:cs="Times New Roman"/>
        <w:noProof/>
        <w:sz w:val="20"/>
        <w:szCs w:val="20"/>
      </w:rPr>
      <w:t>3</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300E44" w:rsidRPr="0032079E" w:rsidRDefault="001B6ADA" w:rsidP="0032079E">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r w:rsidRPr="002E383E">
      <w:rPr>
        <w:noProof/>
      </w:rPr>
      <w:drawing>
        <wp:anchor distT="0" distB="0" distL="114300" distR="114300" simplePos="0" relativeHeight="251662336" behindDoc="0" locked="1" layoutInCell="1" allowOverlap="1" wp14:anchorId="43457AC2" wp14:editId="5B833F4A">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pStyle w:val="Heading3Black"/>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E7316BB"/>
    <w:multiLevelType w:val="hybridMultilevel"/>
    <w:tmpl w:val="63D2C5DC"/>
    <w:lvl w:ilvl="0" w:tplc="F3021C62">
      <w:start w:val="11"/>
      <w:numFmt w:val="bullet"/>
      <w:lvlText w:val=""/>
      <w:lvlJc w:val="left"/>
      <w:pPr>
        <w:ind w:left="0" w:hanging="360"/>
      </w:pPr>
      <w:rPr>
        <w:rFonts w:ascii="Symbol" w:eastAsiaTheme="minorHAnsi" w:hAnsi="Symbol" w:cs="Verdan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E9D14C7"/>
    <w:multiLevelType w:val="hybridMultilevel"/>
    <w:tmpl w:val="664AB812"/>
    <w:lvl w:ilvl="0" w:tplc="6FA48464">
      <w:start w:val="11"/>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6"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443D2B"/>
    <w:multiLevelType w:val="hybridMultilevel"/>
    <w:tmpl w:val="EF4A9D38"/>
    <w:lvl w:ilvl="0" w:tplc="FFFFFFFF">
      <w:start w:val="1"/>
      <w:numFmt w:val="decimal"/>
      <w:pStyle w:val="body"/>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4581E9B"/>
    <w:multiLevelType w:val="hybridMultilevel"/>
    <w:tmpl w:val="C1487580"/>
    <w:lvl w:ilvl="0" w:tplc="4DC86C3A">
      <w:start w:val="1"/>
      <w:numFmt w:val="bullet"/>
      <w:pStyle w:val="Bullets"/>
      <w:lvlText w:val=""/>
      <w:lvlJc w:val="left"/>
      <w:pPr>
        <w:ind w:left="0" w:hanging="360"/>
      </w:pPr>
      <w:rPr>
        <w:rFonts w:ascii="Symbol" w:hAnsi="Symbol" w:hint="default"/>
        <w:color w:val="009FC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8"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30" w15:restartNumberingAfterBreak="0">
    <w:nsid w:val="79934D84"/>
    <w:multiLevelType w:val="hybridMultilevel"/>
    <w:tmpl w:val="5D70E6F4"/>
    <w:lvl w:ilvl="0" w:tplc="09E0467C">
      <w:start w:val="2"/>
      <w:numFmt w:val="bullet"/>
      <w:lvlText w:val=""/>
      <w:lvlJc w:val="left"/>
      <w:pPr>
        <w:ind w:left="-360" w:hanging="360"/>
      </w:pPr>
      <w:rPr>
        <w:rFonts w:ascii="Symbol" w:eastAsiaTheme="minorHAnsi" w:hAnsi="Symbol" w:cs="Verdana" w:hint="default"/>
        <w:b w:val="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5"/>
  </w:num>
  <w:num w:numId="4">
    <w:abstractNumId w:val="29"/>
  </w:num>
  <w:num w:numId="5">
    <w:abstractNumId w:val="21"/>
  </w:num>
  <w:num w:numId="6">
    <w:abstractNumId w:val="18"/>
  </w:num>
  <w:num w:numId="7">
    <w:abstractNumId w:val="16"/>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9"/>
  </w:num>
  <w:num w:numId="18">
    <w:abstractNumId w:val="9"/>
  </w:num>
  <w:num w:numId="19">
    <w:abstractNumId w:val="15"/>
  </w:num>
  <w:num w:numId="20">
    <w:abstractNumId w:val="13"/>
  </w:num>
  <w:num w:numId="21">
    <w:abstractNumId w:val="29"/>
  </w:num>
  <w:num w:numId="22">
    <w:abstractNumId w:val="9"/>
  </w:num>
  <w:num w:numId="23">
    <w:abstractNumId w:val="15"/>
  </w:num>
  <w:num w:numId="24">
    <w:abstractNumId w:val="13"/>
  </w:num>
  <w:num w:numId="25">
    <w:abstractNumId w:val="29"/>
  </w:num>
  <w:num w:numId="26">
    <w:abstractNumId w:val="27"/>
  </w:num>
  <w:num w:numId="27">
    <w:abstractNumId w:val="29"/>
  </w:num>
  <w:num w:numId="28">
    <w:abstractNumId w:val="27"/>
  </w:num>
  <w:num w:numId="29">
    <w:abstractNumId w:val="26"/>
  </w:num>
  <w:num w:numId="30">
    <w:abstractNumId w:val="28"/>
  </w:num>
  <w:num w:numId="31">
    <w:abstractNumId w:val="23"/>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5"/>
  </w:num>
  <w:num w:numId="35">
    <w:abstractNumId w:val="22"/>
  </w:num>
  <w:num w:numId="36">
    <w:abstractNumId w:val="20"/>
  </w:num>
  <w:num w:numId="37">
    <w:abstractNumId w:val="24"/>
  </w:num>
  <w:num w:numId="38">
    <w:abstractNumId w:val="19"/>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2"/>
  </w:num>
  <w:num w:numId="43">
    <w:abstractNumId w:val="1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embedTrueTypeFonts/>
  <w:saveSubsetFont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33AF"/>
    <w:rsid w:val="000049A2"/>
    <w:rsid w:val="00006964"/>
    <w:rsid w:val="00010152"/>
    <w:rsid w:val="000141C6"/>
    <w:rsid w:val="00014D54"/>
    <w:rsid w:val="0002754B"/>
    <w:rsid w:val="000277E6"/>
    <w:rsid w:val="000313E1"/>
    <w:rsid w:val="000352CD"/>
    <w:rsid w:val="00035AE7"/>
    <w:rsid w:val="00043BF8"/>
    <w:rsid w:val="000467B2"/>
    <w:rsid w:val="00051023"/>
    <w:rsid w:val="00053DDB"/>
    <w:rsid w:val="00054E16"/>
    <w:rsid w:val="00064FE8"/>
    <w:rsid w:val="000718CD"/>
    <w:rsid w:val="00072C6C"/>
    <w:rsid w:val="0007334C"/>
    <w:rsid w:val="000764FA"/>
    <w:rsid w:val="00091E70"/>
    <w:rsid w:val="00095F3F"/>
    <w:rsid w:val="000A0FF7"/>
    <w:rsid w:val="000A382B"/>
    <w:rsid w:val="000A3874"/>
    <w:rsid w:val="000A77C4"/>
    <w:rsid w:val="000B0B22"/>
    <w:rsid w:val="000B0F2E"/>
    <w:rsid w:val="000B5E2C"/>
    <w:rsid w:val="000C38DE"/>
    <w:rsid w:val="000D02B9"/>
    <w:rsid w:val="000D1939"/>
    <w:rsid w:val="000D4A76"/>
    <w:rsid w:val="000D6BF4"/>
    <w:rsid w:val="000F3BC3"/>
    <w:rsid w:val="0010110D"/>
    <w:rsid w:val="00116A69"/>
    <w:rsid w:val="001265C8"/>
    <w:rsid w:val="00130944"/>
    <w:rsid w:val="00133A1B"/>
    <w:rsid w:val="001343F1"/>
    <w:rsid w:val="00135BE1"/>
    <w:rsid w:val="00153179"/>
    <w:rsid w:val="0015431E"/>
    <w:rsid w:val="00161833"/>
    <w:rsid w:val="00171A20"/>
    <w:rsid w:val="001746B9"/>
    <w:rsid w:val="0018088D"/>
    <w:rsid w:val="001958EE"/>
    <w:rsid w:val="00197F73"/>
    <w:rsid w:val="001B6ADA"/>
    <w:rsid w:val="001C22F6"/>
    <w:rsid w:val="001C4306"/>
    <w:rsid w:val="001D1691"/>
    <w:rsid w:val="001D4C1F"/>
    <w:rsid w:val="001E53F3"/>
    <w:rsid w:val="002230A7"/>
    <w:rsid w:val="00232FFF"/>
    <w:rsid w:val="00236217"/>
    <w:rsid w:val="00242C21"/>
    <w:rsid w:val="00243744"/>
    <w:rsid w:val="00245B22"/>
    <w:rsid w:val="00252BCC"/>
    <w:rsid w:val="00261A57"/>
    <w:rsid w:val="00272A1B"/>
    <w:rsid w:val="00273392"/>
    <w:rsid w:val="00290B37"/>
    <w:rsid w:val="002A05EB"/>
    <w:rsid w:val="002A147E"/>
    <w:rsid w:val="002A70DC"/>
    <w:rsid w:val="002B0DB3"/>
    <w:rsid w:val="002B3578"/>
    <w:rsid w:val="002B56C0"/>
    <w:rsid w:val="002C111D"/>
    <w:rsid w:val="002C7124"/>
    <w:rsid w:val="002D0305"/>
    <w:rsid w:val="002D1A0E"/>
    <w:rsid w:val="002E0658"/>
    <w:rsid w:val="002E7D48"/>
    <w:rsid w:val="00300E44"/>
    <w:rsid w:val="003017B3"/>
    <w:rsid w:val="00304F17"/>
    <w:rsid w:val="00310833"/>
    <w:rsid w:val="00314DE6"/>
    <w:rsid w:val="0032079E"/>
    <w:rsid w:val="0032657D"/>
    <w:rsid w:val="00327492"/>
    <w:rsid w:val="00330CFE"/>
    <w:rsid w:val="0033684D"/>
    <w:rsid w:val="00337B63"/>
    <w:rsid w:val="00352533"/>
    <w:rsid w:val="003579D4"/>
    <w:rsid w:val="00363601"/>
    <w:rsid w:val="003658B4"/>
    <w:rsid w:val="00371610"/>
    <w:rsid w:val="00372973"/>
    <w:rsid w:val="003742C7"/>
    <w:rsid w:val="00385EB8"/>
    <w:rsid w:val="00394142"/>
    <w:rsid w:val="003A1E6B"/>
    <w:rsid w:val="003B3F92"/>
    <w:rsid w:val="003D071F"/>
    <w:rsid w:val="003D65F8"/>
    <w:rsid w:val="003D7D45"/>
    <w:rsid w:val="003E42E3"/>
    <w:rsid w:val="003E57F2"/>
    <w:rsid w:val="003F1332"/>
    <w:rsid w:val="003F5035"/>
    <w:rsid w:val="00400D58"/>
    <w:rsid w:val="00403F42"/>
    <w:rsid w:val="0041155D"/>
    <w:rsid w:val="004166F5"/>
    <w:rsid w:val="00420946"/>
    <w:rsid w:val="00425E24"/>
    <w:rsid w:val="004416D1"/>
    <w:rsid w:val="004446AE"/>
    <w:rsid w:val="00444B42"/>
    <w:rsid w:val="0044619C"/>
    <w:rsid w:val="004468C6"/>
    <w:rsid w:val="00451810"/>
    <w:rsid w:val="004520D0"/>
    <w:rsid w:val="004623F3"/>
    <w:rsid w:val="00471651"/>
    <w:rsid w:val="004A3B90"/>
    <w:rsid w:val="004A3F08"/>
    <w:rsid w:val="004A5CA0"/>
    <w:rsid w:val="004B4800"/>
    <w:rsid w:val="004B7D11"/>
    <w:rsid w:val="004C1038"/>
    <w:rsid w:val="004C5008"/>
    <w:rsid w:val="004C595C"/>
    <w:rsid w:val="004E0359"/>
    <w:rsid w:val="004E0D16"/>
    <w:rsid w:val="004E5ED8"/>
    <w:rsid w:val="004F42A5"/>
    <w:rsid w:val="004F4A5F"/>
    <w:rsid w:val="004F4E47"/>
    <w:rsid w:val="004F6A14"/>
    <w:rsid w:val="005064DE"/>
    <w:rsid w:val="005101CA"/>
    <w:rsid w:val="005112E4"/>
    <w:rsid w:val="00513966"/>
    <w:rsid w:val="00517EAC"/>
    <w:rsid w:val="00521FB4"/>
    <w:rsid w:val="00522259"/>
    <w:rsid w:val="00543FF5"/>
    <w:rsid w:val="005444C0"/>
    <w:rsid w:val="00550D5C"/>
    <w:rsid w:val="0055465F"/>
    <w:rsid w:val="0055547F"/>
    <w:rsid w:val="00557005"/>
    <w:rsid w:val="0056277B"/>
    <w:rsid w:val="0056301F"/>
    <w:rsid w:val="00566AD7"/>
    <w:rsid w:val="00570EE6"/>
    <w:rsid w:val="00575375"/>
    <w:rsid w:val="005948D5"/>
    <w:rsid w:val="0059608D"/>
    <w:rsid w:val="005B121C"/>
    <w:rsid w:val="005B3A86"/>
    <w:rsid w:val="005C2E8D"/>
    <w:rsid w:val="005C4063"/>
    <w:rsid w:val="005C40E6"/>
    <w:rsid w:val="005D027E"/>
    <w:rsid w:val="005D6916"/>
    <w:rsid w:val="005E244B"/>
    <w:rsid w:val="005E4060"/>
    <w:rsid w:val="005E518E"/>
    <w:rsid w:val="005F1A38"/>
    <w:rsid w:val="005F6EC0"/>
    <w:rsid w:val="00606AE6"/>
    <w:rsid w:val="00613FF8"/>
    <w:rsid w:val="006156B8"/>
    <w:rsid w:val="00615BE5"/>
    <w:rsid w:val="0061772D"/>
    <w:rsid w:val="00623F3F"/>
    <w:rsid w:val="006247D9"/>
    <w:rsid w:val="0064234D"/>
    <w:rsid w:val="00642E1A"/>
    <w:rsid w:val="00645538"/>
    <w:rsid w:val="006505E1"/>
    <w:rsid w:val="006532B0"/>
    <w:rsid w:val="00653825"/>
    <w:rsid w:val="006626EB"/>
    <w:rsid w:val="00662BF1"/>
    <w:rsid w:val="00663423"/>
    <w:rsid w:val="00671008"/>
    <w:rsid w:val="00672BD3"/>
    <w:rsid w:val="00674E96"/>
    <w:rsid w:val="00682E52"/>
    <w:rsid w:val="00685DFF"/>
    <w:rsid w:val="00687FED"/>
    <w:rsid w:val="006974BA"/>
    <w:rsid w:val="006A23F0"/>
    <w:rsid w:val="006A2E0C"/>
    <w:rsid w:val="006A58E9"/>
    <w:rsid w:val="006B55A4"/>
    <w:rsid w:val="006C2BD3"/>
    <w:rsid w:val="006C7C6D"/>
    <w:rsid w:val="006D0516"/>
    <w:rsid w:val="006D7316"/>
    <w:rsid w:val="006E620B"/>
    <w:rsid w:val="006F78A0"/>
    <w:rsid w:val="00704A07"/>
    <w:rsid w:val="00723F8E"/>
    <w:rsid w:val="0074395E"/>
    <w:rsid w:val="00746658"/>
    <w:rsid w:val="00746EFF"/>
    <w:rsid w:val="007525F5"/>
    <w:rsid w:val="00752A6A"/>
    <w:rsid w:val="007667BD"/>
    <w:rsid w:val="00773C9A"/>
    <w:rsid w:val="00776673"/>
    <w:rsid w:val="007824A2"/>
    <w:rsid w:val="0079548F"/>
    <w:rsid w:val="00796FBD"/>
    <w:rsid w:val="007B39B4"/>
    <w:rsid w:val="007D48A6"/>
    <w:rsid w:val="007D5A66"/>
    <w:rsid w:val="007E634A"/>
    <w:rsid w:val="007F6B89"/>
    <w:rsid w:val="00803051"/>
    <w:rsid w:val="008136B4"/>
    <w:rsid w:val="00815CEC"/>
    <w:rsid w:val="008176F3"/>
    <w:rsid w:val="00817AB5"/>
    <w:rsid w:val="008219DB"/>
    <w:rsid w:val="008225AC"/>
    <w:rsid w:val="00822AF5"/>
    <w:rsid w:val="00823846"/>
    <w:rsid w:val="0083294B"/>
    <w:rsid w:val="00832D54"/>
    <w:rsid w:val="00840E13"/>
    <w:rsid w:val="00845388"/>
    <w:rsid w:val="00847210"/>
    <w:rsid w:val="008504E3"/>
    <w:rsid w:val="00852DB7"/>
    <w:rsid w:val="00854912"/>
    <w:rsid w:val="00857363"/>
    <w:rsid w:val="008601E9"/>
    <w:rsid w:val="00861ED5"/>
    <w:rsid w:val="00862FB8"/>
    <w:rsid w:val="008758D2"/>
    <w:rsid w:val="00892FE2"/>
    <w:rsid w:val="00897DEB"/>
    <w:rsid w:val="008A5035"/>
    <w:rsid w:val="008A6F33"/>
    <w:rsid w:val="008D0EA0"/>
    <w:rsid w:val="008D2006"/>
    <w:rsid w:val="008D3674"/>
    <w:rsid w:val="008D3A95"/>
    <w:rsid w:val="008D4F0C"/>
    <w:rsid w:val="008D575B"/>
    <w:rsid w:val="008E113C"/>
    <w:rsid w:val="008E5622"/>
    <w:rsid w:val="008F2A00"/>
    <w:rsid w:val="008F34CB"/>
    <w:rsid w:val="008F39CF"/>
    <w:rsid w:val="008F696F"/>
    <w:rsid w:val="00901585"/>
    <w:rsid w:val="009159EA"/>
    <w:rsid w:val="0092519E"/>
    <w:rsid w:val="009325A9"/>
    <w:rsid w:val="00940AE9"/>
    <w:rsid w:val="00941F65"/>
    <w:rsid w:val="00944D95"/>
    <w:rsid w:val="009530CC"/>
    <w:rsid w:val="009600A6"/>
    <w:rsid w:val="00962C60"/>
    <w:rsid w:val="0096505D"/>
    <w:rsid w:val="00977F03"/>
    <w:rsid w:val="009848FC"/>
    <w:rsid w:val="00993F41"/>
    <w:rsid w:val="009A2490"/>
    <w:rsid w:val="009C4835"/>
    <w:rsid w:val="009D62C0"/>
    <w:rsid w:val="009D691D"/>
    <w:rsid w:val="009D7164"/>
    <w:rsid w:val="009F7A70"/>
    <w:rsid w:val="00A01B4B"/>
    <w:rsid w:val="00A03815"/>
    <w:rsid w:val="00A06C10"/>
    <w:rsid w:val="00A137D7"/>
    <w:rsid w:val="00A35B1F"/>
    <w:rsid w:val="00A3713A"/>
    <w:rsid w:val="00A43066"/>
    <w:rsid w:val="00A45E4E"/>
    <w:rsid w:val="00A5381F"/>
    <w:rsid w:val="00A568CC"/>
    <w:rsid w:val="00A62A66"/>
    <w:rsid w:val="00A773A1"/>
    <w:rsid w:val="00A85557"/>
    <w:rsid w:val="00A85786"/>
    <w:rsid w:val="00A863E3"/>
    <w:rsid w:val="00A87D38"/>
    <w:rsid w:val="00AB3F9C"/>
    <w:rsid w:val="00AB4A64"/>
    <w:rsid w:val="00AB5353"/>
    <w:rsid w:val="00AB6119"/>
    <w:rsid w:val="00AB649F"/>
    <w:rsid w:val="00AC119B"/>
    <w:rsid w:val="00AD07B6"/>
    <w:rsid w:val="00AD646A"/>
    <w:rsid w:val="00AD784F"/>
    <w:rsid w:val="00AF47D9"/>
    <w:rsid w:val="00B010F4"/>
    <w:rsid w:val="00B01B83"/>
    <w:rsid w:val="00B03D03"/>
    <w:rsid w:val="00B040FC"/>
    <w:rsid w:val="00B04429"/>
    <w:rsid w:val="00B06533"/>
    <w:rsid w:val="00B15314"/>
    <w:rsid w:val="00B16521"/>
    <w:rsid w:val="00B17E44"/>
    <w:rsid w:val="00B34650"/>
    <w:rsid w:val="00B45B23"/>
    <w:rsid w:val="00B46E8E"/>
    <w:rsid w:val="00B5273F"/>
    <w:rsid w:val="00B569C1"/>
    <w:rsid w:val="00B61518"/>
    <w:rsid w:val="00B62CF1"/>
    <w:rsid w:val="00B65CC7"/>
    <w:rsid w:val="00B67098"/>
    <w:rsid w:val="00B679D2"/>
    <w:rsid w:val="00B75523"/>
    <w:rsid w:val="00B817A8"/>
    <w:rsid w:val="00B8408C"/>
    <w:rsid w:val="00B86E31"/>
    <w:rsid w:val="00B90BF8"/>
    <w:rsid w:val="00B971D2"/>
    <w:rsid w:val="00BA10B8"/>
    <w:rsid w:val="00BA566E"/>
    <w:rsid w:val="00BB1623"/>
    <w:rsid w:val="00BB22FB"/>
    <w:rsid w:val="00BC7B09"/>
    <w:rsid w:val="00BD54A9"/>
    <w:rsid w:val="00BD5978"/>
    <w:rsid w:val="00BD66AD"/>
    <w:rsid w:val="00BF0157"/>
    <w:rsid w:val="00BF2D2F"/>
    <w:rsid w:val="00BF3818"/>
    <w:rsid w:val="00C03127"/>
    <w:rsid w:val="00C0680F"/>
    <w:rsid w:val="00C12E91"/>
    <w:rsid w:val="00C13E82"/>
    <w:rsid w:val="00C15B1B"/>
    <w:rsid w:val="00C2091F"/>
    <w:rsid w:val="00C22808"/>
    <w:rsid w:val="00C22DCB"/>
    <w:rsid w:val="00C32D24"/>
    <w:rsid w:val="00C35188"/>
    <w:rsid w:val="00C42A1F"/>
    <w:rsid w:val="00C43D2B"/>
    <w:rsid w:val="00C466B3"/>
    <w:rsid w:val="00C54A08"/>
    <w:rsid w:val="00C628A0"/>
    <w:rsid w:val="00C654A6"/>
    <w:rsid w:val="00C93100"/>
    <w:rsid w:val="00C944C5"/>
    <w:rsid w:val="00CA65E5"/>
    <w:rsid w:val="00CB1969"/>
    <w:rsid w:val="00CB6A80"/>
    <w:rsid w:val="00CC0854"/>
    <w:rsid w:val="00CD6D2F"/>
    <w:rsid w:val="00CE4500"/>
    <w:rsid w:val="00CF7C6B"/>
    <w:rsid w:val="00D03CAD"/>
    <w:rsid w:val="00D05049"/>
    <w:rsid w:val="00D1196E"/>
    <w:rsid w:val="00D138C3"/>
    <w:rsid w:val="00D31404"/>
    <w:rsid w:val="00D33F34"/>
    <w:rsid w:val="00D44C87"/>
    <w:rsid w:val="00D47C4E"/>
    <w:rsid w:val="00D527EA"/>
    <w:rsid w:val="00D61EDD"/>
    <w:rsid w:val="00D63C25"/>
    <w:rsid w:val="00D70163"/>
    <w:rsid w:val="00D76EC9"/>
    <w:rsid w:val="00D86D6F"/>
    <w:rsid w:val="00D90E5E"/>
    <w:rsid w:val="00D930DB"/>
    <w:rsid w:val="00D97677"/>
    <w:rsid w:val="00D97F5B"/>
    <w:rsid w:val="00DA6428"/>
    <w:rsid w:val="00DB1B21"/>
    <w:rsid w:val="00DC0F53"/>
    <w:rsid w:val="00DC305C"/>
    <w:rsid w:val="00DD389D"/>
    <w:rsid w:val="00DF4319"/>
    <w:rsid w:val="00E00A30"/>
    <w:rsid w:val="00E0574E"/>
    <w:rsid w:val="00E05D32"/>
    <w:rsid w:val="00E07DDC"/>
    <w:rsid w:val="00E149BA"/>
    <w:rsid w:val="00E22BFF"/>
    <w:rsid w:val="00E31039"/>
    <w:rsid w:val="00E35A0D"/>
    <w:rsid w:val="00E360CB"/>
    <w:rsid w:val="00E36D1C"/>
    <w:rsid w:val="00E418B5"/>
    <w:rsid w:val="00E420FD"/>
    <w:rsid w:val="00E453F6"/>
    <w:rsid w:val="00E462DD"/>
    <w:rsid w:val="00E50A8B"/>
    <w:rsid w:val="00E50F10"/>
    <w:rsid w:val="00E553D0"/>
    <w:rsid w:val="00E55EBF"/>
    <w:rsid w:val="00E67374"/>
    <w:rsid w:val="00E74ECF"/>
    <w:rsid w:val="00E81CD4"/>
    <w:rsid w:val="00E86B73"/>
    <w:rsid w:val="00E87C9F"/>
    <w:rsid w:val="00E90BCF"/>
    <w:rsid w:val="00EA57C7"/>
    <w:rsid w:val="00EC12B3"/>
    <w:rsid w:val="00EC1F98"/>
    <w:rsid w:val="00EE0EE5"/>
    <w:rsid w:val="00F04C1E"/>
    <w:rsid w:val="00F06CCD"/>
    <w:rsid w:val="00F07D11"/>
    <w:rsid w:val="00F10F71"/>
    <w:rsid w:val="00F12343"/>
    <w:rsid w:val="00F16B3B"/>
    <w:rsid w:val="00F16EA3"/>
    <w:rsid w:val="00F17C44"/>
    <w:rsid w:val="00F255EE"/>
    <w:rsid w:val="00F25FF4"/>
    <w:rsid w:val="00F2689F"/>
    <w:rsid w:val="00F46C4F"/>
    <w:rsid w:val="00F535EB"/>
    <w:rsid w:val="00F609A9"/>
    <w:rsid w:val="00F978A6"/>
    <w:rsid w:val="00FB5305"/>
    <w:rsid w:val="00FB579B"/>
    <w:rsid w:val="00FB7F9B"/>
    <w:rsid w:val="00FC7000"/>
    <w:rsid w:val="00FD25EA"/>
    <w:rsid w:val="00FE61BC"/>
    <w:rsid w:val="00FF1A26"/>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15:docId w15:val="{80E5216C-E494-445C-A6E8-36E8FDBF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customStyle="1" w:styleId="Subhead1Style">
    <w:name w:val="Subhead 1 Style"/>
    <w:basedOn w:val="Normal"/>
    <w:qFormat/>
    <w:rsid w:val="0032079E"/>
    <w:pPr>
      <w:spacing w:before="360" w:after="120" w:line="240" w:lineRule="auto"/>
      <w:ind w:left="-720"/>
    </w:pPr>
    <w:rPr>
      <w:rFonts w:ascii="Calibri" w:eastAsia="Arial" w:hAnsi="Calibri" w:cs="Times New Roman"/>
      <w:b/>
      <w:color w:val="009FC3"/>
      <w:spacing w:val="-4"/>
      <w:szCs w:val="20"/>
      <w:lang w:eastAsia="sv-SE"/>
    </w:rPr>
  </w:style>
  <w:style w:type="paragraph" w:customStyle="1" w:styleId="MainText">
    <w:name w:val="Main Text"/>
    <w:basedOn w:val="Normal"/>
    <w:autoRedefine/>
    <w:qFormat/>
    <w:rsid w:val="0032079E"/>
    <w:pPr>
      <w:spacing w:after="0" w:line="260" w:lineRule="atLeast"/>
      <w:ind w:left="-720"/>
      <w:jc w:val="both"/>
    </w:pPr>
    <w:rPr>
      <w:rFonts w:ascii="Calibri" w:eastAsia="Arial" w:hAnsi="Calibri" w:cs="Times New Roman"/>
      <w:color w:val="000000"/>
      <w:spacing w:val="-4"/>
      <w:sz w:val="20"/>
      <w:szCs w:val="20"/>
    </w:rPr>
  </w:style>
  <w:style w:type="paragraph" w:customStyle="1" w:styleId="Bullets">
    <w:name w:val="Bullets"/>
    <w:basedOn w:val="ListParagraph"/>
    <w:qFormat/>
    <w:rsid w:val="0032079E"/>
    <w:pPr>
      <w:numPr>
        <w:numId w:val="35"/>
      </w:numPr>
      <w:spacing w:after="120" w:line="260" w:lineRule="atLeast"/>
      <w:contextualSpacing w:val="0"/>
    </w:pPr>
    <w:rPr>
      <w:rFonts w:ascii="Calibri" w:eastAsia="Arial" w:hAnsi="Calibri" w:cs="Times New Roman"/>
      <w:spacing w:val="-4"/>
      <w:sz w:val="20"/>
      <w:szCs w:val="20"/>
      <w:lang w:eastAsia="sv-SE"/>
    </w:rPr>
  </w:style>
  <w:style w:type="paragraph" w:customStyle="1" w:styleId="Subhead2Style">
    <w:name w:val="Subhead 2 Style"/>
    <w:basedOn w:val="MainText"/>
    <w:qFormat/>
    <w:rsid w:val="0032079E"/>
    <w:rPr>
      <w:b/>
    </w:rPr>
  </w:style>
  <w:style w:type="table" w:customStyle="1" w:styleId="NLXStx">
    <w:name w:val="NLX Stx"/>
    <w:basedOn w:val="TableNormal"/>
    <w:uiPriority w:val="99"/>
    <w:rsid w:val="0032079E"/>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aliases w:val="Heading 3-chart Char,Headi3 Char"/>
    <w:basedOn w:val="DefaultParagraphFont"/>
    <w:link w:val="Heading3"/>
    <w:rsid w:val="00543FF5"/>
    <w:rPr>
      <w:rFonts w:ascii="Verdana" w:hAnsi="Verdana"/>
      <w:b/>
      <w:kern w:val="20"/>
      <w:sz w:val="18"/>
      <w:lang w:eastAsia="sv-SE"/>
    </w:rPr>
  </w:style>
  <w:style w:type="paragraph" w:styleId="Caption">
    <w:name w:val="caption"/>
    <w:basedOn w:val="Normal"/>
    <w:next w:val="Normal"/>
    <w:qFormat/>
    <w:rsid w:val="007E634A"/>
    <w:pPr>
      <w:spacing w:before="120" w:after="120" w:line="240" w:lineRule="auto"/>
      <w:jc w:val="both"/>
    </w:pPr>
    <w:rPr>
      <w:rFonts w:ascii="Times New Roman" w:eastAsia="Times New Roman" w:hAnsi="Times New Roman" w:cs="Times New Roman"/>
      <w:b/>
      <w:bCs/>
      <w:sz w:val="20"/>
      <w:szCs w:val="20"/>
      <w:lang w:val="en-GB"/>
    </w:rPr>
  </w:style>
  <w:style w:type="paragraph" w:customStyle="1" w:styleId="Heading3Black">
    <w:name w:val="Heading 3 Black"/>
    <w:basedOn w:val="Heading2"/>
    <w:qFormat/>
    <w:rsid w:val="004A5CA0"/>
    <w:pPr>
      <w:keepLines w:val="0"/>
      <w:numPr>
        <w:ilvl w:val="1"/>
        <w:numId w:val="15"/>
      </w:numPr>
      <w:spacing w:line="320" w:lineRule="atLeast"/>
      <w:ind w:left="576"/>
    </w:pPr>
    <w:rPr>
      <w:rFonts w:ascii="Arial Narrow" w:hAnsi="Arial Narrow" w:cs="Arial"/>
      <w:bCs/>
      <w:color w:val="000000" w:themeColor="text1"/>
      <w:kern w:val="32"/>
      <w:sz w:val="24"/>
      <w:szCs w:val="32"/>
      <w:lang w:eastAsia="en-US"/>
    </w:rPr>
  </w:style>
  <w:style w:type="paragraph" w:customStyle="1" w:styleId="body">
    <w:name w:val="# body"/>
    <w:basedOn w:val="Normal"/>
    <w:qFormat/>
    <w:rsid w:val="004A5CA0"/>
    <w:pPr>
      <w:numPr>
        <w:numId w:val="44"/>
      </w:numPr>
      <w:spacing w:after="0" w:line="260" w:lineRule="atLeast"/>
    </w:pPr>
    <w:rPr>
      <w:rFonts w:ascii="Arial Narrow" w:eastAsia="Times New Roman" w:hAnsi="Arial Narrow" w:cs="Times New Roman"/>
      <w:sz w:val="18"/>
    </w:rPr>
  </w:style>
  <w:style w:type="table" w:styleId="MediumGrid3-Accent1">
    <w:name w:val="Medium Grid 3 Accent 1"/>
    <w:basedOn w:val="TableNormal"/>
    <w:rsid w:val="000A382B"/>
    <w:rPr>
      <w:sz w:val="24"/>
      <w:szCs w:val="24"/>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dnoteText">
    <w:name w:val="endnote text"/>
    <w:basedOn w:val="Normal"/>
    <w:link w:val="EndnoteTextChar"/>
    <w:semiHidden/>
    <w:unhideWhenUsed/>
    <w:rsid w:val="00FC7000"/>
    <w:pPr>
      <w:spacing w:after="0" w:line="240" w:lineRule="auto"/>
    </w:pPr>
    <w:rPr>
      <w:sz w:val="20"/>
      <w:szCs w:val="20"/>
    </w:rPr>
  </w:style>
  <w:style w:type="character" w:customStyle="1" w:styleId="EndnoteTextChar">
    <w:name w:val="Endnote Text Char"/>
    <w:basedOn w:val="DefaultParagraphFont"/>
    <w:link w:val="EndnoteText"/>
    <w:semiHidden/>
    <w:rsid w:val="00FC7000"/>
    <w:rPr>
      <w:rFonts w:asciiTheme="minorHAnsi" w:eastAsiaTheme="minorHAnsi" w:hAnsiTheme="minorHAnsi" w:cstheme="minorBidi"/>
    </w:rPr>
  </w:style>
  <w:style w:type="character" w:styleId="EndnoteReference">
    <w:name w:val="endnote reference"/>
    <w:basedOn w:val="DefaultParagraphFont"/>
    <w:semiHidden/>
    <w:unhideWhenUsed/>
    <w:rsid w:val="00FC7000"/>
    <w:rPr>
      <w:vertAlign w:val="superscript"/>
    </w:rPr>
  </w:style>
  <w:style w:type="paragraph" w:styleId="Revision">
    <w:name w:val="Revision"/>
    <w:hidden/>
    <w:uiPriority w:val="99"/>
    <w:semiHidden/>
    <w:rsid w:val="00D47C4E"/>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55757065">
      <w:bodyDiv w:val="1"/>
      <w:marLeft w:val="0"/>
      <w:marRight w:val="0"/>
      <w:marTop w:val="0"/>
      <w:marBottom w:val="0"/>
      <w:divBdr>
        <w:top w:val="none" w:sz="0" w:space="0" w:color="auto"/>
        <w:left w:val="none" w:sz="0" w:space="0" w:color="auto"/>
        <w:bottom w:val="none" w:sz="0" w:space="0" w:color="auto"/>
        <w:right w:val="none" w:sz="0" w:space="0" w:color="auto"/>
      </w:divBdr>
    </w:div>
    <w:div w:id="1188370540">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417899638">
      <w:bodyDiv w:val="1"/>
      <w:marLeft w:val="300"/>
      <w:marRight w:val="150"/>
      <w:marTop w:val="150"/>
      <w:marBottom w:val="150"/>
      <w:divBdr>
        <w:top w:val="none" w:sz="0" w:space="0" w:color="auto"/>
        <w:left w:val="none" w:sz="0" w:space="0" w:color="auto"/>
        <w:bottom w:val="none" w:sz="0" w:space="0" w:color="auto"/>
        <w:right w:val="none" w:sz="0" w:space="0" w:color="auto"/>
      </w:divBdr>
      <w:divsChild>
        <w:div w:id="70587422">
          <w:marLeft w:val="0"/>
          <w:marRight w:val="0"/>
          <w:marTop w:val="0"/>
          <w:marBottom w:val="0"/>
          <w:divBdr>
            <w:top w:val="none" w:sz="0" w:space="0" w:color="auto"/>
            <w:left w:val="none" w:sz="0" w:space="0" w:color="auto"/>
            <w:bottom w:val="none" w:sz="0" w:space="0" w:color="auto"/>
            <w:right w:val="none" w:sz="0" w:space="0" w:color="auto"/>
          </w:divBdr>
          <w:divsChild>
            <w:div w:id="1932735485">
              <w:marLeft w:val="0"/>
              <w:marRight w:val="0"/>
              <w:marTop w:val="0"/>
              <w:marBottom w:val="0"/>
              <w:divBdr>
                <w:top w:val="none" w:sz="0" w:space="0" w:color="auto"/>
                <w:left w:val="none" w:sz="0" w:space="0" w:color="auto"/>
                <w:bottom w:val="none" w:sz="0" w:space="0" w:color="auto"/>
                <w:right w:val="none" w:sz="0" w:space="0" w:color="auto"/>
              </w:divBdr>
              <w:divsChild>
                <w:div w:id="1053886874">
                  <w:marLeft w:val="0"/>
                  <w:marRight w:val="0"/>
                  <w:marTop w:val="0"/>
                  <w:marBottom w:val="0"/>
                  <w:divBdr>
                    <w:top w:val="none" w:sz="0" w:space="0" w:color="auto"/>
                    <w:left w:val="none" w:sz="0" w:space="0" w:color="auto"/>
                    <w:bottom w:val="none" w:sz="0" w:space="0" w:color="auto"/>
                    <w:right w:val="none" w:sz="0" w:space="0" w:color="auto"/>
                  </w:divBdr>
                  <w:divsChild>
                    <w:div w:id="17865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 w:id="21172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nasdaqomxphlx.cchwallstreet.com/NASDAQOMXPHLX/pdf/tailor%20made%20combinations%20reference%20guide.pdf" TargetMode="External"/><Relationship Id="rId1" Type="http://schemas.openxmlformats.org/officeDocument/2006/relationships/hyperlink" Target="http://nasdaqomxphlx.cchwallstreet.com/NASDAQOMXPHLX/pdf/Standard%20Combination%20Orders%20Reference%20Guid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p:properties xmlns:p="http://schemas.microsoft.com/office/2006/metadata/properties" xmlns:xsi="http://www.w3.org/2001/XMLSchema-instance">
  <documentManagement>
    <RCT xmlns="4b47aac5-4c46-444f-8595-ce09b406fc61">false</RCT>
    <DocGuid xmlns="4b47aac5-4c46-444f-8595-ce09b406fc61">b77cab5a-7e8d-4c61-a34b-7de71e004160</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2016-09-12T20:54:19+00:00</Document_x0020_Date>
    <Document_x0020_No xmlns="4b47aac5-4c46-444f-8595-ce09b406fc61">26260</Document_x0020_No>
  </documentManagement>
</p:properties>
</file>

<file path=customXml/itemProps1.xml><?xml version="1.0" encoding="utf-8"?>
<ds:datastoreItem xmlns:ds="http://schemas.openxmlformats.org/officeDocument/2006/customXml" ds:itemID="{CA0944A6-70E9-4AF4-84EE-89C238CBBFAF}"/>
</file>

<file path=customXml/itemProps2.xml><?xml version="1.0" encoding="utf-8"?>
<ds:datastoreItem xmlns:ds="http://schemas.openxmlformats.org/officeDocument/2006/customXml" ds:itemID="{8E0F34CB-B94B-4343-A4A0-B477203080AD}"/>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C80411DA-59C1-4F66-8EC6-14D6E0D2D51E}"/>
</file>

<file path=customXml/itemProps5.xml><?xml version="1.0" encoding="utf-8"?>
<ds:datastoreItem xmlns:ds="http://schemas.openxmlformats.org/officeDocument/2006/customXml" ds:itemID="{EF15CA83-F73B-409E-94A8-CA292E015980}"/>
</file>

<file path=docProps/app.xml><?xml version="1.0" encoding="utf-8"?>
<Properties xmlns="http://schemas.openxmlformats.org/officeDocument/2006/extended-properties" xmlns:vt="http://schemas.openxmlformats.org/officeDocument/2006/docPropsVTypes">
  <Template>NASDAQ Futures NFX_Philadelphia letterhead</Template>
  <TotalTime>2</TotalTime>
  <Pages>4</Pages>
  <Words>929</Words>
  <Characters>5297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2016-09-12T14:24:00Z</cp:lastPrinted>
  <dcterms:created xsi:type="dcterms:W3CDTF">2016-09-12T20:25:00Z</dcterms:created>
  <dcterms:modified xsi:type="dcterms:W3CDTF">2016-09-12T20:25:00Z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2917200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