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9F297" w14:textId="4E6073FE" w:rsidR="00B84143" w:rsidRPr="007B14CC" w:rsidRDefault="00B84143" w:rsidP="00D94493">
      <w:pPr>
        <w:spacing w:before="0" w:line="240" w:lineRule="auto"/>
        <w:rPr>
          <w:rFonts w:cstheme="minorHAnsi"/>
        </w:rPr>
      </w:pPr>
      <w:r w:rsidRPr="007B14CC">
        <w:rPr>
          <w:rFonts w:cstheme="minorHAnsi"/>
        </w:rPr>
        <w:tab/>
      </w:r>
      <w:r w:rsidR="00D94493" w:rsidRPr="007B14CC">
        <w:rPr>
          <w:rFonts w:cstheme="minorHAnsi"/>
        </w:rPr>
        <w:t>August</w:t>
      </w:r>
      <w:r w:rsidRPr="007B14CC">
        <w:rPr>
          <w:rFonts w:cstheme="minorHAnsi"/>
        </w:rPr>
        <w:t xml:space="preserve"> </w:t>
      </w:r>
      <w:r w:rsidR="00B05307" w:rsidRPr="007B14CC">
        <w:rPr>
          <w:rFonts w:cstheme="minorHAnsi"/>
        </w:rPr>
        <w:t>31</w:t>
      </w:r>
      <w:r w:rsidRPr="007B14CC">
        <w:rPr>
          <w:rFonts w:cstheme="minorHAnsi"/>
        </w:rPr>
        <w:t>, 2021</w:t>
      </w:r>
    </w:p>
    <w:p w14:paraId="005306CB" w14:textId="77777777" w:rsidR="00B05307" w:rsidRPr="007B14CC" w:rsidRDefault="00B05307" w:rsidP="00B05307">
      <w:pPr>
        <w:spacing w:before="0" w:line="240" w:lineRule="auto"/>
        <w:rPr>
          <w:rFonts w:cstheme="minorHAnsi"/>
          <w:b/>
          <w:u w:val="single"/>
        </w:rPr>
      </w:pPr>
      <w:bookmarkStart w:id="0" w:name="Verdatum"/>
      <w:bookmarkEnd w:id="0"/>
      <w:r w:rsidRPr="007B14CC">
        <w:rPr>
          <w:rFonts w:cstheme="minorHAnsi"/>
          <w:b/>
          <w:u w:val="single"/>
        </w:rPr>
        <w:t>Submitted via CFTC Portal</w:t>
      </w:r>
    </w:p>
    <w:p w14:paraId="0C384655" w14:textId="77777777" w:rsidR="00B05307" w:rsidRPr="007B14CC" w:rsidRDefault="00B05307" w:rsidP="00B05307">
      <w:pPr>
        <w:spacing w:before="0" w:line="240" w:lineRule="auto"/>
        <w:rPr>
          <w:rFonts w:cstheme="minorHAnsi"/>
        </w:rPr>
      </w:pPr>
    </w:p>
    <w:p w14:paraId="65EEE147" w14:textId="77777777" w:rsidR="00B05307" w:rsidRPr="007B14CC" w:rsidRDefault="00B05307" w:rsidP="00B05307">
      <w:pPr>
        <w:spacing w:before="0" w:line="240" w:lineRule="auto"/>
        <w:rPr>
          <w:rFonts w:cstheme="minorHAnsi"/>
        </w:rPr>
      </w:pPr>
      <w:r w:rsidRPr="007B14CC">
        <w:rPr>
          <w:rFonts w:cstheme="minorHAnsi"/>
        </w:rPr>
        <w:t>Mr. Christopher J. Kirkpatrick</w:t>
      </w:r>
    </w:p>
    <w:p w14:paraId="18454411" w14:textId="77777777" w:rsidR="00B05307" w:rsidRPr="007B14CC" w:rsidRDefault="00B05307" w:rsidP="00B05307">
      <w:pPr>
        <w:spacing w:before="0" w:line="240" w:lineRule="auto"/>
        <w:rPr>
          <w:rFonts w:cstheme="minorHAnsi"/>
        </w:rPr>
      </w:pPr>
      <w:r w:rsidRPr="007B14CC">
        <w:rPr>
          <w:rFonts w:cstheme="minorHAnsi"/>
        </w:rPr>
        <w:t>Office of the Secretariat</w:t>
      </w:r>
    </w:p>
    <w:p w14:paraId="3450FE38" w14:textId="77777777" w:rsidR="00B05307" w:rsidRPr="007B14CC" w:rsidRDefault="00B05307" w:rsidP="00B05307">
      <w:pPr>
        <w:spacing w:before="0" w:line="240" w:lineRule="auto"/>
        <w:rPr>
          <w:rFonts w:cstheme="minorHAnsi"/>
        </w:rPr>
      </w:pPr>
      <w:r w:rsidRPr="007B14CC">
        <w:rPr>
          <w:rFonts w:cstheme="minorHAnsi"/>
        </w:rPr>
        <w:t>Commodity Futures Trading Commission</w:t>
      </w:r>
    </w:p>
    <w:p w14:paraId="22356D1B" w14:textId="77777777" w:rsidR="00B05307" w:rsidRPr="007B14CC" w:rsidRDefault="00B05307" w:rsidP="00B05307">
      <w:pPr>
        <w:spacing w:before="0" w:line="240" w:lineRule="auto"/>
        <w:rPr>
          <w:rFonts w:cstheme="minorHAnsi"/>
        </w:rPr>
      </w:pPr>
      <w:r w:rsidRPr="007B14CC">
        <w:rPr>
          <w:rFonts w:cstheme="minorHAnsi"/>
        </w:rPr>
        <w:t>Three Lafayette Centre</w:t>
      </w:r>
    </w:p>
    <w:p w14:paraId="76A77893" w14:textId="77777777" w:rsidR="00B05307" w:rsidRPr="007B14CC" w:rsidRDefault="00B05307" w:rsidP="00B05307">
      <w:pPr>
        <w:spacing w:before="0" w:line="240" w:lineRule="auto"/>
        <w:rPr>
          <w:rFonts w:cstheme="minorHAnsi"/>
        </w:rPr>
      </w:pPr>
      <w:r w:rsidRPr="007B14CC">
        <w:rPr>
          <w:rFonts w:cstheme="minorHAnsi"/>
        </w:rPr>
        <w:t>1155 21st Street, NW</w:t>
      </w:r>
    </w:p>
    <w:p w14:paraId="11C9A274" w14:textId="77777777" w:rsidR="00B05307" w:rsidRPr="007B14CC" w:rsidRDefault="00B05307" w:rsidP="00B05307">
      <w:pPr>
        <w:spacing w:before="0" w:line="240" w:lineRule="auto"/>
        <w:rPr>
          <w:rFonts w:cstheme="minorHAnsi"/>
        </w:rPr>
      </w:pPr>
      <w:r w:rsidRPr="007B14CC">
        <w:rPr>
          <w:rFonts w:cstheme="minorHAnsi"/>
        </w:rPr>
        <w:t>Washington, DC 20581</w:t>
      </w:r>
    </w:p>
    <w:p w14:paraId="7F6A0A23" w14:textId="77777777" w:rsidR="00B05307" w:rsidRPr="007B14CC" w:rsidRDefault="00B05307" w:rsidP="00B05307">
      <w:pPr>
        <w:spacing w:before="0" w:line="240" w:lineRule="auto"/>
        <w:rPr>
          <w:rFonts w:cstheme="minorHAnsi"/>
        </w:rPr>
      </w:pPr>
    </w:p>
    <w:p w14:paraId="2213E44B" w14:textId="170FF5A8" w:rsidR="00B05307" w:rsidRPr="007B14CC" w:rsidRDefault="00B05307" w:rsidP="00B05307">
      <w:pPr>
        <w:spacing w:before="0" w:line="240" w:lineRule="auto"/>
        <w:rPr>
          <w:rFonts w:cstheme="minorHAnsi"/>
        </w:rPr>
      </w:pPr>
      <w:r w:rsidRPr="007B14CC">
        <w:rPr>
          <w:rFonts w:cstheme="minorHAnsi"/>
        </w:rPr>
        <w:t xml:space="preserve">Re:  </w:t>
      </w:r>
      <w:r w:rsidRPr="007B14CC">
        <w:rPr>
          <w:rFonts w:cstheme="minorHAnsi"/>
          <w:u w:val="single"/>
        </w:rPr>
        <w:t xml:space="preserve">MarketAxess SEF Corporation – Regulation 40.6(d) Notification of Rule Amendments </w:t>
      </w:r>
    </w:p>
    <w:p w14:paraId="7029C338" w14:textId="77777777" w:rsidR="00B05307" w:rsidRPr="007B14CC" w:rsidRDefault="00B05307" w:rsidP="00B05307">
      <w:pPr>
        <w:spacing w:before="0" w:line="240" w:lineRule="auto"/>
        <w:rPr>
          <w:rFonts w:cstheme="minorHAnsi"/>
        </w:rPr>
      </w:pPr>
    </w:p>
    <w:p w14:paraId="0D334178" w14:textId="77777777" w:rsidR="00B05307" w:rsidRPr="007B14CC" w:rsidRDefault="00B05307" w:rsidP="00B05307">
      <w:pPr>
        <w:spacing w:before="0" w:line="240" w:lineRule="auto"/>
        <w:rPr>
          <w:rFonts w:cstheme="minorHAnsi"/>
        </w:rPr>
      </w:pPr>
      <w:r w:rsidRPr="007B14CC">
        <w:rPr>
          <w:rFonts w:cstheme="minorHAnsi"/>
        </w:rPr>
        <w:t>Dear Mr. Kirkpatrick:</w:t>
      </w:r>
    </w:p>
    <w:p w14:paraId="02635178" w14:textId="77777777" w:rsidR="00B05307" w:rsidRPr="007B14CC" w:rsidRDefault="00B05307" w:rsidP="00B05307">
      <w:pPr>
        <w:spacing w:before="0" w:line="240" w:lineRule="auto"/>
        <w:rPr>
          <w:rFonts w:cstheme="minorHAnsi"/>
        </w:rPr>
      </w:pPr>
    </w:p>
    <w:p w14:paraId="0BCE0CF7" w14:textId="77777777" w:rsidR="007B14CC" w:rsidRPr="007B14CC" w:rsidRDefault="00B05307" w:rsidP="00B05307">
      <w:pPr>
        <w:spacing w:before="0" w:line="240" w:lineRule="auto"/>
        <w:rPr>
          <w:rFonts w:cstheme="minorHAnsi"/>
        </w:rPr>
      </w:pPr>
      <w:r w:rsidRPr="007B14CC">
        <w:rPr>
          <w:rFonts w:cstheme="minorHAnsi"/>
        </w:rPr>
        <w:t xml:space="preserve">Pursuant to Section 5c(c) of the Commodity Exchange Act, as amended (the “Act”), and Section 40.6(d) of the regulations of the Commodity Futures Trading Commission (the “Commission” or “CFTC”), MarketAxess SEF Corporation (“MarketAxess”), a registered swap execution facility, hereby notifies the Commission that it has made certain </w:t>
      </w:r>
      <w:r w:rsidR="007B14CC" w:rsidRPr="007B14CC">
        <w:rPr>
          <w:rFonts w:cstheme="minorHAnsi"/>
        </w:rPr>
        <w:t>non-</w:t>
      </w:r>
      <w:r w:rsidRPr="007B14CC">
        <w:rPr>
          <w:rFonts w:cstheme="minorHAnsi"/>
        </w:rPr>
        <w:t xml:space="preserve">substantive revisions to Appendix A of the MarketAxess Rulebook effective as of September 1, 2021. </w:t>
      </w:r>
    </w:p>
    <w:p w14:paraId="35256799" w14:textId="77777777" w:rsidR="007B14CC" w:rsidRPr="007B14CC" w:rsidRDefault="007B14CC" w:rsidP="00B05307">
      <w:pPr>
        <w:spacing w:before="0" w:line="240" w:lineRule="auto"/>
        <w:rPr>
          <w:rFonts w:cstheme="minorHAnsi"/>
        </w:rPr>
      </w:pPr>
    </w:p>
    <w:p w14:paraId="373916E6" w14:textId="7AD4148D" w:rsidR="00B05307" w:rsidRPr="007B14CC" w:rsidRDefault="00B05307" w:rsidP="00B05307">
      <w:pPr>
        <w:spacing w:before="0" w:line="240" w:lineRule="auto"/>
        <w:rPr>
          <w:rFonts w:cstheme="minorHAnsi"/>
        </w:rPr>
      </w:pPr>
      <w:r w:rsidRPr="007B14CC">
        <w:rPr>
          <w:rFonts w:cstheme="minorHAnsi"/>
        </w:rPr>
        <w:t>Specifically, MarketAxess has made the following changes:</w:t>
      </w:r>
    </w:p>
    <w:p w14:paraId="62BC0929" w14:textId="1472185B" w:rsidR="007B14CC" w:rsidRPr="007B14CC" w:rsidRDefault="007B14CC" w:rsidP="00B05307">
      <w:pPr>
        <w:pStyle w:val="ListParagraph"/>
        <w:numPr>
          <w:ilvl w:val="0"/>
          <w:numId w:val="9"/>
        </w:numPr>
        <w:spacing w:before="0"/>
        <w:rPr>
          <w:rFonts w:cstheme="minorHAnsi"/>
        </w:rPr>
      </w:pPr>
      <w:r w:rsidRPr="007B14CC">
        <w:rPr>
          <w:rFonts w:cstheme="minorHAnsi"/>
        </w:rPr>
        <w:t xml:space="preserve">Removed </w:t>
      </w:r>
      <w:r w:rsidR="00B05307" w:rsidRPr="007B14CC">
        <w:rPr>
          <w:rFonts w:cstheme="minorHAnsi"/>
        </w:rPr>
        <w:t xml:space="preserve">references to the products listed in </w:t>
      </w:r>
      <w:r w:rsidRPr="007B14CC">
        <w:rPr>
          <w:rFonts w:cstheme="minorHAnsi"/>
        </w:rPr>
        <w:t>Appendix A to the MarketAxess SEF Rulebook (Credit Contracts Terms and Conditions) as set forth in Exhibit I</w:t>
      </w:r>
      <w:r w:rsidR="00B05307" w:rsidRPr="007B14CC">
        <w:rPr>
          <w:rFonts w:cstheme="minorHAnsi"/>
        </w:rPr>
        <w:t>; and</w:t>
      </w:r>
    </w:p>
    <w:p w14:paraId="60966784" w14:textId="1F2A7CC6" w:rsidR="00B05307" w:rsidRPr="007B14CC" w:rsidRDefault="00B05307" w:rsidP="00B05307">
      <w:pPr>
        <w:pStyle w:val="ListParagraph"/>
        <w:numPr>
          <w:ilvl w:val="0"/>
          <w:numId w:val="9"/>
        </w:numPr>
        <w:spacing w:before="0"/>
        <w:rPr>
          <w:rFonts w:cstheme="minorHAnsi"/>
        </w:rPr>
      </w:pPr>
      <w:r w:rsidRPr="007B14CC">
        <w:rPr>
          <w:rFonts w:cstheme="minorHAnsi"/>
        </w:rPr>
        <w:t xml:space="preserve">Updated the </w:t>
      </w:r>
      <w:r w:rsidR="00A863D1" w:rsidRPr="007B14CC">
        <w:rPr>
          <w:rFonts w:cstheme="minorHAnsi"/>
        </w:rPr>
        <w:t>MarketAxess SEF Rulebook</w:t>
      </w:r>
      <w:r w:rsidRPr="007B14CC">
        <w:rPr>
          <w:rFonts w:cstheme="minorHAnsi"/>
        </w:rPr>
        <w:t xml:space="preserve"> effective date and table of contents.</w:t>
      </w:r>
    </w:p>
    <w:p w14:paraId="050E0F1E" w14:textId="77777777" w:rsidR="00B05307" w:rsidRPr="007B14CC" w:rsidRDefault="00B05307" w:rsidP="00B05307">
      <w:pPr>
        <w:spacing w:before="0" w:line="240" w:lineRule="auto"/>
        <w:rPr>
          <w:rFonts w:cstheme="minorHAnsi"/>
        </w:rPr>
      </w:pPr>
    </w:p>
    <w:p w14:paraId="628BC6FF" w14:textId="77777777" w:rsidR="00A863D1" w:rsidRDefault="00B05307" w:rsidP="00B05307">
      <w:pPr>
        <w:spacing w:before="0" w:line="240" w:lineRule="auto"/>
        <w:rPr>
          <w:rFonts w:cstheme="minorHAnsi"/>
        </w:rPr>
      </w:pPr>
      <w:r w:rsidRPr="007B14CC">
        <w:rPr>
          <w:rFonts w:cstheme="minorHAnsi"/>
        </w:rPr>
        <w:t>Attached as Exhibit I</w:t>
      </w:r>
      <w:r w:rsidR="007B14CC" w:rsidRPr="007B14CC">
        <w:rPr>
          <w:rFonts w:cstheme="minorHAnsi"/>
        </w:rPr>
        <w:t>I</w:t>
      </w:r>
      <w:r w:rsidRPr="007B14CC">
        <w:rPr>
          <w:rFonts w:cstheme="minorHAnsi"/>
        </w:rPr>
        <w:t xml:space="preserve"> is a clean copy of </w:t>
      </w:r>
      <w:r w:rsidR="007B14CC" w:rsidRPr="007B14CC">
        <w:rPr>
          <w:rFonts w:cstheme="minorHAnsi"/>
        </w:rPr>
        <w:t>the MarketAxess SEF Rulebook</w:t>
      </w:r>
      <w:r w:rsidRPr="007B14CC">
        <w:rPr>
          <w:rFonts w:cstheme="minorHAnsi"/>
        </w:rPr>
        <w:t>, as amende</w:t>
      </w:r>
      <w:r w:rsidR="00A863D1">
        <w:rPr>
          <w:rFonts w:cstheme="minorHAnsi"/>
        </w:rPr>
        <w:t>d.</w:t>
      </w:r>
    </w:p>
    <w:p w14:paraId="0766B56A" w14:textId="60426E97" w:rsidR="00B05307" w:rsidRPr="007B14CC" w:rsidRDefault="00A863D1" w:rsidP="00B05307">
      <w:pPr>
        <w:spacing w:before="0" w:line="240" w:lineRule="auto"/>
        <w:rPr>
          <w:rFonts w:cstheme="minorHAnsi"/>
        </w:rPr>
      </w:pPr>
      <w:r>
        <w:rPr>
          <w:rFonts w:cstheme="minorHAnsi"/>
        </w:rPr>
        <w:t>A</w:t>
      </w:r>
      <w:r w:rsidR="00B05307" w:rsidRPr="007B14CC">
        <w:rPr>
          <w:rFonts w:cstheme="minorHAnsi"/>
        </w:rPr>
        <w:t>ttached as Exhibit II</w:t>
      </w:r>
      <w:r w:rsidR="007B14CC" w:rsidRPr="007B14CC">
        <w:rPr>
          <w:rFonts w:cstheme="minorHAnsi"/>
        </w:rPr>
        <w:t>I</w:t>
      </w:r>
      <w:r w:rsidR="00B05307" w:rsidRPr="007B14CC">
        <w:rPr>
          <w:rFonts w:cstheme="minorHAnsi"/>
        </w:rPr>
        <w:t xml:space="preserve"> is a marked copy of </w:t>
      </w:r>
      <w:r w:rsidR="007B14CC" w:rsidRPr="007B14CC">
        <w:rPr>
          <w:rFonts w:cstheme="minorHAnsi"/>
        </w:rPr>
        <w:t xml:space="preserve">the MarketAxess SEF Rulebook </w:t>
      </w:r>
      <w:r w:rsidR="00B05307" w:rsidRPr="007B14CC">
        <w:rPr>
          <w:rFonts w:cstheme="minorHAnsi"/>
        </w:rPr>
        <w:t>showing changes to the prior version.</w:t>
      </w:r>
    </w:p>
    <w:p w14:paraId="0A4A49E0" w14:textId="77777777" w:rsidR="00B05307" w:rsidRPr="007B14CC" w:rsidRDefault="00B05307" w:rsidP="00B05307">
      <w:pPr>
        <w:spacing w:before="0" w:line="240" w:lineRule="auto"/>
        <w:rPr>
          <w:rFonts w:cstheme="minorHAnsi"/>
        </w:rPr>
      </w:pPr>
    </w:p>
    <w:p w14:paraId="5F00C9D9" w14:textId="77777777" w:rsidR="00B05307" w:rsidRPr="007B14CC" w:rsidRDefault="00B05307" w:rsidP="00B05307">
      <w:pPr>
        <w:spacing w:before="0" w:line="240" w:lineRule="auto"/>
        <w:rPr>
          <w:rFonts w:cstheme="minorHAnsi"/>
        </w:rPr>
      </w:pPr>
      <w:r w:rsidRPr="007B14CC">
        <w:rPr>
          <w:rFonts w:cstheme="minorHAnsi"/>
        </w:rPr>
        <w:t xml:space="preserve">Please contact Ron Steinfeld, Chief Compliance Officer, at (212) 813-6280 or by email at rsteinfeld@marketaxess.com with any questions regarding this matter. </w:t>
      </w:r>
    </w:p>
    <w:p w14:paraId="3C4C81DE" w14:textId="77777777" w:rsidR="00B05307" w:rsidRPr="007B14CC" w:rsidRDefault="00B05307" w:rsidP="00B05307">
      <w:pPr>
        <w:spacing w:before="0" w:line="240" w:lineRule="auto"/>
        <w:rPr>
          <w:rFonts w:cstheme="minorHAnsi"/>
        </w:rPr>
      </w:pPr>
    </w:p>
    <w:p w14:paraId="65917CDB" w14:textId="77777777" w:rsidR="00B05307" w:rsidRPr="007B14CC" w:rsidRDefault="00B05307" w:rsidP="00B05307">
      <w:pPr>
        <w:spacing w:before="0" w:line="240" w:lineRule="auto"/>
        <w:rPr>
          <w:rFonts w:cstheme="minorHAnsi"/>
        </w:rPr>
      </w:pPr>
      <w:r w:rsidRPr="007B14CC">
        <w:rPr>
          <w:rFonts w:cstheme="minorHAnsi"/>
        </w:rPr>
        <w:t>Very truly yours,</w:t>
      </w:r>
    </w:p>
    <w:p w14:paraId="2D29DE89" w14:textId="3F608336" w:rsidR="00B05307" w:rsidRPr="007B14CC" w:rsidRDefault="00B05307" w:rsidP="00B05307">
      <w:pPr>
        <w:spacing w:before="0" w:line="240" w:lineRule="auto"/>
        <w:rPr>
          <w:rFonts w:cstheme="minorHAnsi"/>
        </w:rPr>
      </w:pPr>
      <w:r w:rsidRPr="007B14CC">
        <w:rPr>
          <w:rFonts w:cstheme="minorHAnsi"/>
        </w:rPr>
        <w:t>MarketAxess SEF Corporation</w:t>
      </w:r>
    </w:p>
    <w:p w14:paraId="3A4B025D" w14:textId="6BC942DC" w:rsidR="00B05307" w:rsidRPr="007B14CC" w:rsidRDefault="00B05307" w:rsidP="00B05307">
      <w:pPr>
        <w:spacing w:before="0" w:line="240" w:lineRule="auto"/>
        <w:rPr>
          <w:rFonts w:cstheme="minorHAnsi"/>
        </w:rPr>
      </w:pPr>
    </w:p>
    <w:p w14:paraId="2316F57F" w14:textId="77777777" w:rsidR="007B14CC" w:rsidRPr="007B14CC" w:rsidRDefault="007B14CC" w:rsidP="00B05307">
      <w:pPr>
        <w:spacing w:before="0" w:line="240" w:lineRule="auto"/>
        <w:rPr>
          <w:rFonts w:cstheme="minorHAnsi"/>
        </w:rPr>
      </w:pPr>
    </w:p>
    <w:p w14:paraId="6AA68665" w14:textId="0D62B91E" w:rsidR="00B05307" w:rsidRPr="007B14CC" w:rsidRDefault="00B05307" w:rsidP="00B05307">
      <w:pPr>
        <w:spacing w:before="0" w:line="240" w:lineRule="auto"/>
        <w:rPr>
          <w:rFonts w:cstheme="minorHAnsi"/>
        </w:rPr>
      </w:pPr>
      <w:r w:rsidRPr="007B14CC">
        <w:rPr>
          <w:rFonts w:cstheme="minorHAnsi"/>
        </w:rPr>
        <w:t>By: __</w:t>
      </w:r>
      <w:r w:rsidR="00BA7ADD">
        <w:rPr>
          <w:rFonts w:cstheme="minorHAnsi"/>
        </w:rPr>
        <w:t>/s/Ron Steinfeld</w:t>
      </w:r>
      <w:r w:rsidRPr="007B14CC">
        <w:rPr>
          <w:rFonts w:cstheme="minorHAnsi"/>
        </w:rPr>
        <w:t>_____________________</w:t>
      </w:r>
    </w:p>
    <w:p w14:paraId="464C5374" w14:textId="4D400AB6" w:rsidR="00B05307" w:rsidRPr="007B14CC" w:rsidRDefault="00B05307" w:rsidP="00B05307">
      <w:pPr>
        <w:spacing w:before="0" w:line="240" w:lineRule="auto"/>
        <w:rPr>
          <w:rFonts w:cstheme="minorHAnsi"/>
        </w:rPr>
      </w:pPr>
      <w:r w:rsidRPr="007B14CC">
        <w:rPr>
          <w:rFonts w:cstheme="minorHAnsi"/>
        </w:rPr>
        <w:t xml:space="preserve">Name: Ron Steinfeld </w:t>
      </w:r>
    </w:p>
    <w:p w14:paraId="6A7A44F9" w14:textId="2CE7C4F4" w:rsidR="00B05307" w:rsidRPr="007B14CC" w:rsidRDefault="00B05307" w:rsidP="00B05307">
      <w:pPr>
        <w:spacing w:before="0" w:line="240" w:lineRule="auto"/>
        <w:rPr>
          <w:rFonts w:cstheme="minorHAnsi"/>
        </w:rPr>
      </w:pPr>
      <w:r w:rsidRPr="007B14CC">
        <w:rPr>
          <w:rFonts w:cstheme="minorHAnsi"/>
        </w:rPr>
        <w:t>Title: Chief Compliance Officer</w:t>
      </w:r>
    </w:p>
    <w:p w14:paraId="0D27A897" w14:textId="527BA080" w:rsidR="00B05307" w:rsidRPr="007B14CC" w:rsidRDefault="00B05307" w:rsidP="00B05307">
      <w:pPr>
        <w:spacing w:before="0" w:line="240" w:lineRule="auto"/>
        <w:rPr>
          <w:rFonts w:cstheme="minorHAnsi"/>
        </w:rPr>
      </w:pPr>
      <w:r w:rsidRPr="007B14CC">
        <w:rPr>
          <w:rFonts w:cstheme="minorHAnsi"/>
        </w:rPr>
        <w:t>Date: August 31, 2021</w:t>
      </w:r>
    </w:p>
    <w:p w14:paraId="457B57D6" w14:textId="77777777" w:rsidR="00B05307" w:rsidRPr="007B14CC" w:rsidRDefault="00B05307" w:rsidP="00B05307">
      <w:pPr>
        <w:pStyle w:val="SingleSpace"/>
        <w:rPr>
          <w:rFonts w:asciiTheme="minorHAnsi" w:hAnsiTheme="minorHAnsi" w:cstheme="minorHAnsi"/>
        </w:rPr>
      </w:pPr>
    </w:p>
    <w:p w14:paraId="27E58250" w14:textId="77777777" w:rsidR="00B05307" w:rsidRPr="007B14CC" w:rsidRDefault="00B05307" w:rsidP="00B05307">
      <w:pPr>
        <w:pStyle w:val="SingleSpace"/>
        <w:rPr>
          <w:rFonts w:asciiTheme="minorHAnsi" w:hAnsiTheme="minorHAnsi" w:cstheme="minorHAnsi"/>
        </w:rPr>
      </w:pPr>
    </w:p>
    <w:p w14:paraId="2AC4FB2D" w14:textId="77777777" w:rsidR="00B05307" w:rsidRPr="007B14CC" w:rsidRDefault="00B05307" w:rsidP="00B05307">
      <w:pPr>
        <w:pStyle w:val="SingleSpace"/>
        <w:rPr>
          <w:rFonts w:asciiTheme="minorHAnsi" w:hAnsiTheme="minorHAnsi" w:cstheme="minorHAnsi"/>
        </w:rPr>
      </w:pPr>
      <w:r w:rsidRPr="007B14CC">
        <w:rPr>
          <w:rFonts w:asciiTheme="minorHAnsi" w:hAnsiTheme="minorHAnsi" w:cstheme="minorHAnsi"/>
        </w:rPr>
        <w:t>Enclosures</w:t>
      </w:r>
    </w:p>
    <w:p w14:paraId="3B9860B5" w14:textId="5FC2D28C" w:rsidR="00412134" w:rsidRPr="007B14CC" w:rsidRDefault="00412134" w:rsidP="00775F9F">
      <w:pPr>
        <w:spacing w:before="0" w:line="240" w:lineRule="auto"/>
        <w:rPr>
          <w:rFonts w:cstheme="minorHAnsi"/>
        </w:rPr>
      </w:pPr>
    </w:p>
    <w:p w14:paraId="50143A0C" w14:textId="50FF3992" w:rsidR="00412134" w:rsidRPr="007B14CC" w:rsidRDefault="00412134">
      <w:pPr>
        <w:spacing w:before="0" w:line="240" w:lineRule="auto"/>
        <w:rPr>
          <w:rFonts w:cstheme="minorHAnsi"/>
        </w:rPr>
      </w:pPr>
      <w:r w:rsidRPr="007B14CC">
        <w:rPr>
          <w:rFonts w:cstheme="minorHAnsi"/>
        </w:rPr>
        <w:br w:type="page"/>
      </w:r>
    </w:p>
    <w:p w14:paraId="7B5DF117" w14:textId="77777777" w:rsidR="00412134" w:rsidRPr="007B14CC" w:rsidRDefault="00412134" w:rsidP="00775F9F">
      <w:pPr>
        <w:spacing w:before="0" w:line="240" w:lineRule="auto"/>
        <w:rPr>
          <w:rFonts w:cstheme="minorHAnsi"/>
        </w:rPr>
      </w:pPr>
    </w:p>
    <w:p w14:paraId="504A6726" w14:textId="428C271C" w:rsidR="007B14CC" w:rsidRPr="007B14CC" w:rsidRDefault="007B14CC" w:rsidP="007B14CC">
      <w:pPr>
        <w:pStyle w:val="SingleSpace"/>
        <w:jc w:val="center"/>
        <w:rPr>
          <w:rFonts w:asciiTheme="minorHAnsi" w:hAnsiTheme="minorHAnsi" w:cstheme="minorHAnsi"/>
          <w:b/>
          <w:u w:val="single"/>
        </w:rPr>
      </w:pPr>
      <w:r w:rsidRPr="007B14CC">
        <w:rPr>
          <w:rFonts w:asciiTheme="minorHAnsi" w:hAnsiTheme="minorHAnsi" w:cstheme="minorHAnsi"/>
          <w:b/>
          <w:u w:val="single"/>
        </w:rPr>
        <w:t>EXHIBIT I</w:t>
      </w:r>
    </w:p>
    <w:p w14:paraId="516401F5" w14:textId="77777777" w:rsidR="007B14CC" w:rsidRPr="007B14CC" w:rsidRDefault="007B14CC" w:rsidP="007B14CC">
      <w:pPr>
        <w:pStyle w:val="SingleSpace"/>
        <w:jc w:val="center"/>
        <w:rPr>
          <w:rFonts w:asciiTheme="minorHAnsi" w:hAnsiTheme="minorHAnsi" w:cstheme="minorHAnsi"/>
        </w:rPr>
      </w:pPr>
    </w:p>
    <w:p w14:paraId="04ABF617" w14:textId="21F9635B" w:rsidR="007B14CC" w:rsidRPr="007B14CC" w:rsidRDefault="007B14CC" w:rsidP="007B14CC">
      <w:pPr>
        <w:pStyle w:val="SingleSpace"/>
        <w:jc w:val="center"/>
        <w:rPr>
          <w:rFonts w:asciiTheme="minorHAnsi" w:hAnsiTheme="minorHAnsi" w:cstheme="minorHAnsi"/>
          <w:u w:val="single"/>
        </w:rPr>
      </w:pPr>
      <w:r w:rsidRPr="007B14CC">
        <w:rPr>
          <w:rFonts w:asciiTheme="minorHAnsi" w:hAnsiTheme="minorHAnsi" w:cstheme="minorHAnsi"/>
          <w:u w:val="single"/>
        </w:rPr>
        <w:t>List of Delisted Products</w:t>
      </w:r>
    </w:p>
    <w:p w14:paraId="77654BA8" w14:textId="3455D433" w:rsidR="007B14CC" w:rsidRPr="007B14CC" w:rsidRDefault="007B14CC" w:rsidP="007B14CC">
      <w:pPr>
        <w:pStyle w:val="SingleSpace"/>
        <w:jc w:val="center"/>
        <w:rPr>
          <w:rFonts w:asciiTheme="minorHAnsi" w:hAnsiTheme="minorHAnsi" w:cstheme="minorHAnsi"/>
          <w:u w:val="single"/>
        </w:rPr>
      </w:pPr>
    </w:p>
    <w:p w14:paraId="1A45630F" w14:textId="77777777" w:rsidR="007B14CC" w:rsidRPr="007B14CC" w:rsidRDefault="007B14CC" w:rsidP="007B14CC">
      <w:pPr>
        <w:pStyle w:val="ListParagraph"/>
        <w:numPr>
          <w:ilvl w:val="0"/>
          <w:numId w:val="10"/>
        </w:numPr>
        <w:spacing w:before="0"/>
        <w:contextualSpacing/>
        <w:rPr>
          <w:rFonts w:cstheme="minorHAnsi"/>
        </w:rPr>
      </w:pPr>
      <w:r w:rsidRPr="007B14CC">
        <w:rPr>
          <w:rFonts w:cstheme="minorHAnsi"/>
        </w:rPr>
        <w:t>CDX EM Index</w:t>
      </w:r>
    </w:p>
    <w:p w14:paraId="72F600C6" w14:textId="77777777" w:rsidR="007B14CC" w:rsidRPr="007B14CC" w:rsidRDefault="007B14CC" w:rsidP="007B14CC">
      <w:pPr>
        <w:pStyle w:val="ListParagraph"/>
        <w:numPr>
          <w:ilvl w:val="0"/>
          <w:numId w:val="10"/>
        </w:numPr>
        <w:spacing w:before="0"/>
        <w:contextualSpacing/>
        <w:rPr>
          <w:rFonts w:cstheme="minorHAnsi"/>
        </w:rPr>
      </w:pPr>
      <w:r w:rsidRPr="007B14CC">
        <w:rPr>
          <w:rFonts w:cstheme="minorHAnsi"/>
        </w:rPr>
        <w:t>CDX EM ex-EU Index</w:t>
      </w:r>
    </w:p>
    <w:p w14:paraId="6288B353" w14:textId="77777777" w:rsidR="007B14CC" w:rsidRPr="007B14CC" w:rsidRDefault="007B14CC" w:rsidP="007B14CC">
      <w:pPr>
        <w:pStyle w:val="ListParagraph"/>
        <w:numPr>
          <w:ilvl w:val="0"/>
          <w:numId w:val="10"/>
        </w:numPr>
        <w:spacing w:before="0"/>
        <w:contextualSpacing/>
        <w:rPr>
          <w:rFonts w:cstheme="minorHAnsi"/>
        </w:rPr>
      </w:pPr>
      <w:r w:rsidRPr="007B14CC">
        <w:rPr>
          <w:rFonts w:cstheme="minorHAnsi"/>
        </w:rPr>
        <w:t>CDX LATAM CORP Index</w:t>
      </w:r>
    </w:p>
    <w:p w14:paraId="315459AF" w14:textId="77777777" w:rsidR="007B14CC" w:rsidRPr="007B14CC" w:rsidRDefault="007B14CC" w:rsidP="007B14CC">
      <w:pPr>
        <w:pStyle w:val="ListParagraph"/>
        <w:numPr>
          <w:ilvl w:val="0"/>
          <w:numId w:val="10"/>
        </w:numPr>
        <w:spacing w:before="0"/>
        <w:contextualSpacing/>
        <w:rPr>
          <w:rFonts w:cstheme="minorHAnsi"/>
        </w:rPr>
      </w:pPr>
      <w:r w:rsidRPr="007B14CC">
        <w:rPr>
          <w:rFonts w:cstheme="minorHAnsi"/>
        </w:rPr>
        <w:t>North American High Yield CDX Index</w:t>
      </w:r>
    </w:p>
    <w:p w14:paraId="0C0162F2" w14:textId="77777777" w:rsidR="007B14CC" w:rsidRPr="007B14CC" w:rsidRDefault="007B14CC" w:rsidP="007B14CC">
      <w:pPr>
        <w:pStyle w:val="ListParagraph"/>
        <w:numPr>
          <w:ilvl w:val="0"/>
          <w:numId w:val="10"/>
        </w:numPr>
        <w:spacing w:before="0"/>
        <w:contextualSpacing/>
        <w:rPr>
          <w:rFonts w:cstheme="minorHAnsi"/>
        </w:rPr>
      </w:pPr>
      <w:r w:rsidRPr="007B14CC">
        <w:rPr>
          <w:rFonts w:cstheme="minorHAnsi"/>
        </w:rPr>
        <w:t>North American Investment Grade CDX Index</w:t>
      </w:r>
    </w:p>
    <w:p w14:paraId="2C3DA59F" w14:textId="77777777" w:rsidR="007B14CC" w:rsidRPr="007B14CC" w:rsidRDefault="007B14CC" w:rsidP="007B14CC">
      <w:pPr>
        <w:pStyle w:val="ListParagraph"/>
        <w:numPr>
          <w:ilvl w:val="0"/>
          <w:numId w:val="10"/>
        </w:numPr>
        <w:spacing w:before="0"/>
        <w:contextualSpacing/>
        <w:rPr>
          <w:rFonts w:cstheme="minorHAnsi"/>
        </w:rPr>
      </w:pPr>
      <w:r w:rsidRPr="007B14CC">
        <w:rPr>
          <w:rFonts w:cstheme="minorHAnsi"/>
        </w:rPr>
        <w:t>Markit CDX HVOL Sub-index</w:t>
      </w:r>
    </w:p>
    <w:p w14:paraId="54079815" w14:textId="77777777" w:rsidR="007B14CC" w:rsidRPr="007B14CC" w:rsidRDefault="007B14CC" w:rsidP="007B14CC">
      <w:pPr>
        <w:pStyle w:val="ListParagraph"/>
        <w:numPr>
          <w:ilvl w:val="0"/>
          <w:numId w:val="10"/>
        </w:numPr>
        <w:spacing w:before="0"/>
        <w:contextualSpacing/>
        <w:rPr>
          <w:rFonts w:cstheme="minorHAnsi"/>
        </w:rPr>
      </w:pPr>
      <w:r w:rsidRPr="007B14CC">
        <w:rPr>
          <w:rFonts w:cstheme="minorHAnsi"/>
        </w:rPr>
        <w:t>CDX.NA.XO</w:t>
      </w:r>
    </w:p>
    <w:p w14:paraId="426236DE"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Asia ex-Japan Index</w:t>
      </w:r>
    </w:p>
    <w:p w14:paraId="4CDFC94D"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Asia ex-Japan IG Index</w:t>
      </w:r>
    </w:p>
    <w:p w14:paraId="403A62F8"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Australia</w:t>
      </w:r>
    </w:p>
    <w:p w14:paraId="1AF38F53"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CEEMEA Index</w:t>
      </w:r>
    </w:p>
    <w:p w14:paraId="0CCE24B8"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CEEMEA Corp</w:t>
      </w:r>
    </w:p>
    <w:p w14:paraId="5B6357D8"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CEEMEA Ex-EU</w:t>
      </w:r>
    </w:p>
    <w:p w14:paraId="0D2DF1BB"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Europe Index</w:t>
      </w:r>
    </w:p>
    <w:p w14:paraId="369F5ADE"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Senior Financials</w:t>
      </w:r>
    </w:p>
    <w:p w14:paraId="1A6DB883"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Subordinated Financials</w:t>
      </w:r>
    </w:p>
    <w:p w14:paraId="7E4C4676"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w:t>
      </w:r>
      <w:proofErr w:type="spellStart"/>
      <w:r w:rsidRPr="007B14CC">
        <w:rPr>
          <w:rFonts w:cstheme="minorHAnsi"/>
        </w:rPr>
        <w:t>HiVol</w:t>
      </w:r>
      <w:proofErr w:type="spellEnd"/>
    </w:p>
    <w:p w14:paraId="4F382B01"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Japan</w:t>
      </w:r>
    </w:p>
    <w:p w14:paraId="38D6B53B"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w:t>
      </w:r>
      <w:proofErr w:type="spellStart"/>
      <w:r w:rsidRPr="007B14CC">
        <w:rPr>
          <w:rFonts w:cstheme="minorHAnsi"/>
        </w:rPr>
        <w:t>SovX</w:t>
      </w:r>
      <w:proofErr w:type="spellEnd"/>
      <w:r w:rsidRPr="007B14CC">
        <w:rPr>
          <w:rFonts w:cstheme="minorHAnsi"/>
        </w:rPr>
        <w:t xml:space="preserve"> Western Europe Index</w:t>
      </w:r>
    </w:p>
    <w:p w14:paraId="1FF3798B"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w:t>
      </w:r>
      <w:proofErr w:type="spellStart"/>
      <w:r w:rsidRPr="007B14CC">
        <w:rPr>
          <w:rFonts w:cstheme="minorHAnsi"/>
        </w:rPr>
        <w:t>SovX</w:t>
      </w:r>
      <w:proofErr w:type="spellEnd"/>
      <w:r w:rsidRPr="007B14CC">
        <w:rPr>
          <w:rFonts w:cstheme="minorHAnsi"/>
        </w:rPr>
        <w:t xml:space="preserve"> Asia Pacific Index</w:t>
      </w:r>
    </w:p>
    <w:p w14:paraId="5A8A8C8E"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Crossover Index</w:t>
      </w:r>
    </w:p>
    <w:p w14:paraId="103F133B" w14:textId="77777777" w:rsidR="007B14CC" w:rsidRPr="007B14CC" w:rsidRDefault="007B14CC" w:rsidP="007B14CC">
      <w:pPr>
        <w:pStyle w:val="ListParagraph"/>
        <w:numPr>
          <w:ilvl w:val="0"/>
          <w:numId w:val="10"/>
        </w:numPr>
        <w:spacing w:before="0"/>
        <w:contextualSpacing/>
        <w:rPr>
          <w:rFonts w:cstheme="minorHAnsi"/>
        </w:rPr>
      </w:pPr>
      <w:r w:rsidRPr="007B14CC">
        <w:rPr>
          <w:rFonts w:cstheme="minorHAnsi"/>
        </w:rPr>
        <w:t>CDX.EM Option Contract</w:t>
      </w:r>
    </w:p>
    <w:p w14:paraId="5ED18AA2" w14:textId="77777777" w:rsidR="007B14CC" w:rsidRPr="007B14CC" w:rsidRDefault="007B14CC" w:rsidP="007B14CC">
      <w:pPr>
        <w:pStyle w:val="ListParagraph"/>
        <w:numPr>
          <w:ilvl w:val="0"/>
          <w:numId w:val="10"/>
        </w:numPr>
        <w:spacing w:before="0"/>
        <w:contextualSpacing/>
        <w:rPr>
          <w:rFonts w:cstheme="minorHAnsi"/>
        </w:rPr>
      </w:pPr>
      <w:r w:rsidRPr="007B14CC">
        <w:rPr>
          <w:rFonts w:cstheme="minorHAnsi"/>
        </w:rPr>
        <w:t>CDX.NA.HY Option Contract</w:t>
      </w:r>
    </w:p>
    <w:p w14:paraId="27C05EA4" w14:textId="77777777" w:rsidR="007B14CC" w:rsidRPr="007B14CC" w:rsidRDefault="007B14CC" w:rsidP="007B14CC">
      <w:pPr>
        <w:pStyle w:val="ListParagraph"/>
        <w:numPr>
          <w:ilvl w:val="0"/>
          <w:numId w:val="10"/>
        </w:numPr>
        <w:spacing w:before="0"/>
        <w:contextualSpacing/>
        <w:rPr>
          <w:rFonts w:cstheme="minorHAnsi"/>
        </w:rPr>
      </w:pPr>
      <w:r w:rsidRPr="007B14CC">
        <w:rPr>
          <w:rFonts w:cstheme="minorHAnsi"/>
        </w:rPr>
        <w:t>CDX.NA.IG Option Contract</w:t>
      </w:r>
    </w:p>
    <w:p w14:paraId="19FB81BD"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Europe Option Contract</w:t>
      </w:r>
    </w:p>
    <w:p w14:paraId="60ACE010" w14:textId="77777777" w:rsidR="007B14CC" w:rsidRPr="007B14CC" w:rsidRDefault="007B14CC" w:rsidP="007B14CC">
      <w:pPr>
        <w:pStyle w:val="ListParagraph"/>
        <w:numPr>
          <w:ilvl w:val="0"/>
          <w:numId w:val="10"/>
        </w:numPr>
        <w:spacing w:before="0"/>
        <w:contextualSpacing/>
        <w:rPr>
          <w:rFonts w:cstheme="minorHAnsi"/>
        </w:rPr>
      </w:pPr>
      <w:proofErr w:type="spellStart"/>
      <w:r w:rsidRPr="007B14CC">
        <w:rPr>
          <w:rFonts w:cstheme="minorHAnsi"/>
        </w:rPr>
        <w:t>iTraxx</w:t>
      </w:r>
      <w:proofErr w:type="spellEnd"/>
      <w:r w:rsidRPr="007B14CC">
        <w:rPr>
          <w:rFonts w:cstheme="minorHAnsi"/>
        </w:rPr>
        <w:t xml:space="preserve"> Europe Crossover Option Contract</w:t>
      </w:r>
    </w:p>
    <w:p w14:paraId="631CACB0" w14:textId="77777777" w:rsidR="007B14CC" w:rsidRPr="007B14CC" w:rsidRDefault="007B14CC" w:rsidP="007B14CC">
      <w:pPr>
        <w:pStyle w:val="SingleSpace"/>
        <w:numPr>
          <w:ilvl w:val="0"/>
          <w:numId w:val="10"/>
        </w:numPr>
        <w:rPr>
          <w:rFonts w:asciiTheme="minorHAnsi" w:hAnsiTheme="minorHAnsi" w:cstheme="minorHAnsi"/>
        </w:rPr>
      </w:pPr>
      <w:proofErr w:type="spellStart"/>
      <w:r w:rsidRPr="007B14CC">
        <w:rPr>
          <w:rFonts w:asciiTheme="minorHAnsi" w:hAnsiTheme="minorHAnsi" w:cstheme="minorHAnsi"/>
        </w:rPr>
        <w:t>iTraxx</w:t>
      </w:r>
      <w:proofErr w:type="spellEnd"/>
      <w:r w:rsidRPr="007B14CC">
        <w:rPr>
          <w:rFonts w:asciiTheme="minorHAnsi" w:hAnsiTheme="minorHAnsi" w:cstheme="minorHAnsi"/>
        </w:rPr>
        <w:t xml:space="preserve"> Europe Senior Financials Option Contract</w:t>
      </w:r>
    </w:p>
    <w:p w14:paraId="5BBA6F1C" w14:textId="77777777" w:rsidR="007B14CC" w:rsidRPr="007B14CC" w:rsidRDefault="007B14CC" w:rsidP="007B14CC">
      <w:pPr>
        <w:pStyle w:val="SingleSpace"/>
        <w:jc w:val="center"/>
        <w:rPr>
          <w:rFonts w:asciiTheme="minorHAnsi" w:hAnsiTheme="minorHAnsi" w:cstheme="minorHAnsi"/>
          <w:u w:val="single"/>
        </w:rPr>
      </w:pPr>
    </w:p>
    <w:p w14:paraId="5D7FEEC8" w14:textId="77777777" w:rsidR="007B14CC" w:rsidRPr="007B14CC" w:rsidRDefault="007B14CC">
      <w:pPr>
        <w:spacing w:before="0" w:line="240" w:lineRule="auto"/>
        <w:rPr>
          <w:rFonts w:cstheme="minorHAnsi"/>
          <w:u w:val="single"/>
        </w:rPr>
      </w:pPr>
      <w:r w:rsidRPr="007B14CC">
        <w:rPr>
          <w:rFonts w:cstheme="minorHAnsi"/>
          <w:u w:val="single"/>
        </w:rPr>
        <w:br w:type="page"/>
      </w:r>
    </w:p>
    <w:p w14:paraId="7DD44370" w14:textId="77777777" w:rsidR="007B14CC" w:rsidRPr="007B14CC" w:rsidRDefault="007B14CC" w:rsidP="007B14CC">
      <w:pPr>
        <w:pStyle w:val="SingleSpace"/>
        <w:jc w:val="center"/>
        <w:rPr>
          <w:rFonts w:asciiTheme="minorHAnsi" w:hAnsiTheme="minorHAnsi" w:cstheme="minorHAnsi"/>
          <w:u w:val="single"/>
        </w:rPr>
      </w:pPr>
    </w:p>
    <w:p w14:paraId="1CED2252" w14:textId="77777777" w:rsidR="007B14CC" w:rsidRPr="007B14CC" w:rsidRDefault="007B14CC">
      <w:pPr>
        <w:spacing w:before="0" w:line="240" w:lineRule="auto"/>
        <w:rPr>
          <w:rFonts w:cstheme="minorHAnsi"/>
          <w:b/>
          <w:u w:val="single"/>
        </w:rPr>
      </w:pPr>
    </w:p>
    <w:p w14:paraId="147CEDBC" w14:textId="4307CA6A" w:rsidR="007B14CC" w:rsidRPr="007B14CC" w:rsidRDefault="007B14CC" w:rsidP="007B14CC">
      <w:pPr>
        <w:pStyle w:val="SingleSpace"/>
        <w:jc w:val="center"/>
        <w:rPr>
          <w:rFonts w:asciiTheme="minorHAnsi" w:hAnsiTheme="minorHAnsi" w:cstheme="minorHAnsi"/>
          <w:b/>
          <w:u w:val="single"/>
        </w:rPr>
      </w:pPr>
      <w:r w:rsidRPr="007B14CC">
        <w:rPr>
          <w:rFonts w:asciiTheme="minorHAnsi" w:hAnsiTheme="minorHAnsi" w:cstheme="minorHAnsi"/>
          <w:b/>
          <w:u w:val="single"/>
        </w:rPr>
        <w:t>EXHIBIT II</w:t>
      </w:r>
    </w:p>
    <w:p w14:paraId="17B8FAA6" w14:textId="77777777" w:rsidR="007B14CC" w:rsidRPr="007B14CC" w:rsidRDefault="007B14CC" w:rsidP="007B14CC">
      <w:pPr>
        <w:pStyle w:val="SingleSpace"/>
        <w:jc w:val="center"/>
        <w:rPr>
          <w:rFonts w:asciiTheme="minorHAnsi" w:hAnsiTheme="minorHAnsi" w:cstheme="minorHAnsi"/>
        </w:rPr>
      </w:pPr>
    </w:p>
    <w:p w14:paraId="2E74725F" w14:textId="0E77CAEA" w:rsidR="00A863D1" w:rsidRDefault="007B14CC" w:rsidP="007B14CC">
      <w:pPr>
        <w:pStyle w:val="SingleSpace"/>
        <w:jc w:val="center"/>
        <w:rPr>
          <w:rFonts w:asciiTheme="minorHAnsi" w:hAnsiTheme="minorHAnsi" w:cstheme="minorHAnsi"/>
          <w:u w:val="single"/>
        </w:rPr>
      </w:pPr>
      <w:r w:rsidRPr="007B14CC">
        <w:rPr>
          <w:rFonts w:asciiTheme="minorHAnsi" w:hAnsiTheme="minorHAnsi" w:cstheme="minorHAnsi"/>
          <w:u w:val="single"/>
        </w:rPr>
        <w:t xml:space="preserve">MarketAxess </w:t>
      </w:r>
      <w:r w:rsidR="00E65214">
        <w:rPr>
          <w:rFonts w:asciiTheme="minorHAnsi" w:hAnsiTheme="minorHAnsi" w:cstheme="minorHAnsi"/>
          <w:u w:val="single"/>
        </w:rPr>
        <w:t xml:space="preserve">SEF </w:t>
      </w:r>
      <w:r w:rsidRPr="007B14CC">
        <w:rPr>
          <w:rFonts w:asciiTheme="minorHAnsi" w:hAnsiTheme="minorHAnsi" w:cstheme="minorHAnsi"/>
          <w:u w:val="single"/>
        </w:rPr>
        <w:t>Rulebook (</w:t>
      </w:r>
      <w:r w:rsidR="00A863D1">
        <w:rPr>
          <w:rFonts w:asciiTheme="minorHAnsi" w:hAnsiTheme="minorHAnsi" w:cstheme="minorHAnsi"/>
          <w:u w:val="single"/>
        </w:rPr>
        <w:t>Clean</w:t>
      </w:r>
      <w:r w:rsidRPr="007B14CC">
        <w:rPr>
          <w:rFonts w:asciiTheme="minorHAnsi" w:hAnsiTheme="minorHAnsi" w:cstheme="minorHAnsi"/>
          <w:u w:val="single"/>
        </w:rPr>
        <w:t>)</w:t>
      </w:r>
    </w:p>
    <w:p w14:paraId="7E86BACE" w14:textId="77777777" w:rsidR="00A863D1" w:rsidRDefault="00A863D1">
      <w:pPr>
        <w:spacing w:before="0" w:line="240" w:lineRule="auto"/>
        <w:rPr>
          <w:rFonts w:cstheme="minorHAnsi"/>
          <w:u w:val="single"/>
        </w:rPr>
      </w:pPr>
      <w:r>
        <w:rPr>
          <w:rFonts w:cstheme="minorHAnsi"/>
          <w:u w:val="single"/>
        </w:rPr>
        <w:br w:type="page"/>
      </w:r>
    </w:p>
    <w:p w14:paraId="40C55CDC" w14:textId="77777777" w:rsidR="007B14CC" w:rsidRPr="007B14CC" w:rsidRDefault="007B14CC" w:rsidP="007B14CC">
      <w:pPr>
        <w:pStyle w:val="SingleSpace"/>
        <w:rPr>
          <w:rFonts w:asciiTheme="minorHAnsi" w:hAnsiTheme="minorHAnsi" w:cstheme="minorHAnsi"/>
        </w:rPr>
      </w:pPr>
    </w:p>
    <w:p w14:paraId="6E882D6D" w14:textId="77777777" w:rsidR="007B14CC" w:rsidRPr="007B14CC" w:rsidRDefault="007B14CC" w:rsidP="007B14CC">
      <w:pPr>
        <w:pStyle w:val="SingleSpace"/>
        <w:jc w:val="center"/>
        <w:rPr>
          <w:rFonts w:asciiTheme="minorHAnsi" w:hAnsiTheme="minorHAnsi" w:cstheme="minorHAnsi"/>
          <w:b/>
          <w:u w:val="single"/>
        </w:rPr>
      </w:pPr>
      <w:r w:rsidRPr="007B14CC">
        <w:rPr>
          <w:rFonts w:asciiTheme="minorHAnsi" w:hAnsiTheme="minorHAnsi" w:cstheme="minorHAnsi"/>
          <w:b/>
          <w:u w:val="single"/>
        </w:rPr>
        <w:t>EXHIBIT III</w:t>
      </w:r>
    </w:p>
    <w:p w14:paraId="79438FB4" w14:textId="77777777" w:rsidR="007B14CC" w:rsidRPr="007B14CC" w:rsidRDefault="007B14CC" w:rsidP="007B14CC">
      <w:pPr>
        <w:pStyle w:val="SingleSpace"/>
        <w:jc w:val="center"/>
        <w:rPr>
          <w:rFonts w:asciiTheme="minorHAnsi" w:hAnsiTheme="minorHAnsi" w:cstheme="minorHAnsi"/>
          <w:b/>
          <w:u w:val="single"/>
        </w:rPr>
      </w:pPr>
    </w:p>
    <w:p w14:paraId="2FECD5D1" w14:textId="58FD2C53" w:rsidR="007B14CC" w:rsidRPr="007B14CC" w:rsidRDefault="007B14CC" w:rsidP="007B14CC">
      <w:pPr>
        <w:pStyle w:val="SingleSpace"/>
        <w:jc w:val="center"/>
        <w:rPr>
          <w:rFonts w:asciiTheme="minorHAnsi" w:hAnsiTheme="minorHAnsi" w:cstheme="minorHAnsi"/>
          <w:u w:val="single"/>
        </w:rPr>
      </w:pPr>
      <w:r w:rsidRPr="007B14CC">
        <w:rPr>
          <w:rFonts w:asciiTheme="minorHAnsi" w:hAnsiTheme="minorHAnsi" w:cstheme="minorHAnsi"/>
          <w:u w:val="single"/>
        </w:rPr>
        <w:t xml:space="preserve">MarketAxess </w:t>
      </w:r>
      <w:r w:rsidR="00E65214">
        <w:rPr>
          <w:rFonts w:asciiTheme="minorHAnsi" w:hAnsiTheme="minorHAnsi" w:cstheme="minorHAnsi"/>
          <w:u w:val="single"/>
        </w:rPr>
        <w:t xml:space="preserve">SEF </w:t>
      </w:r>
      <w:r w:rsidRPr="007B14CC">
        <w:rPr>
          <w:rFonts w:asciiTheme="minorHAnsi" w:hAnsiTheme="minorHAnsi" w:cstheme="minorHAnsi"/>
          <w:u w:val="single"/>
        </w:rPr>
        <w:t>Rulebook (Marked)</w:t>
      </w:r>
    </w:p>
    <w:p w14:paraId="22B2BB3D" w14:textId="48C6FA4B" w:rsidR="004F2B00" w:rsidRPr="007B14CC" w:rsidRDefault="004F2B00" w:rsidP="00D94493">
      <w:pPr>
        <w:spacing w:before="0" w:line="240" w:lineRule="auto"/>
        <w:rPr>
          <w:rFonts w:cstheme="minorHAnsi"/>
        </w:rPr>
      </w:pPr>
    </w:p>
    <w:sectPr w:rsidR="004F2B00" w:rsidRPr="007B14CC" w:rsidSect="00F262CA">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DEF3D" w14:textId="77777777" w:rsidR="0055706F" w:rsidRDefault="0055706F">
      <w:r>
        <w:separator/>
      </w:r>
    </w:p>
  </w:endnote>
  <w:endnote w:type="continuationSeparator" w:id="0">
    <w:p w14:paraId="0C07FACC" w14:textId="77777777" w:rsidR="0055706F" w:rsidRDefault="0055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E4902" w14:textId="77777777" w:rsidR="0055706F" w:rsidRDefault="0055706F">
      <w:r>
        <w:separator/>
      </w:r>
    </w:p>
  </w:footnote>
  <w:footnote w:type="continuationSeparator" w:id="0">
    <w:p w14:paraId="1FC07467" w14:textId="77777777" w:rsidR="0055706F" w:rsidRDefault="0055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30D3" w14:textId="45D680DA" w:rsidR="00A150DF" w:rsidRPr="001E5550" w:rsidRDefault="000B0F34" w:rsidP="001E5550">
    <w:pPr>
      <w:pStyle w:val="Header"/>
    </w:pPr>
    <w:r w:rsidRPr="001E5550">
      <w:drawing>
        <wp:anchor distT="0" distB="0" distL="114300" distR="114300" simplePos="0" relativeHeight="251658240" behindDoc="0" locked="0" layoutInCell="1" allowOverlap="1" wp14:anchorId="66ADF74C" wp14:editId="6E5CFEEE">
          <wp:simplePos x="0" y="0"/>
          <wp:positionH relativeFrom="column">
            <wp:posOffset>-342900</wp:posOffset>
          </wp:positionH>
          <wp:positionV relativeFrom="paragraph">
            <wp:posOffset>18107</wp:posOffset>
          </wp:positionV>
          <wp:extent cx="1916660" cy="33708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B 10.12.x:Users:cracchl:Box Sync:Design:Current Clients:MarketAxess:2018:Branding:Logo:031318:PNGs:MA_Logo-Color_031318-08.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6660" cy="337082"/>
                  </a:xfrm>
                  <a:prstGeom prst="rect">
                    <a:avLst/>
                  </a:prstGeom>
                  <a:noFill/>
                  <a:ln>
                    <a:noFill/>
                  </a:ln>
                </pic:spPr>
              </pic:pic>
            </a:graphicData>
          </a:graphic>
          <wp14:sizeRelH relativeFrom="page">
            <wp14:pctWidth>0</wp14:pctWidth>
          </wp14:sizeRelH>
          <wp14:sizeRelV relativeFrom="page">
            <wp14:pctHeight>0</wp14:pctHeight>
          </wp14:sizeRelV>
        </wp:anchor>
      </w:drawing>
    </w:r>
    <w:r w:rsidR="00B43BFC" w:rsidRPr="001E5550">
      <w:tab/>
    </w:r>
    <w:r w:rsidR="686FF959" w:rsidRPr="001E5550">
      <w:t>T   +1 212 813 6000</w:t>
    </w:r>
    <w:r w:rsidR="009C47D7" w:rsidRPr="001E5550">
      <w:tab/>
    </w:r>
    <w:r w:rsidR="686FF959">
      <w:t>55 Hudson Yards 15</w:t>
    </w:r>
    <w:r w:rsidR="686FF959" w:rsidRPr="001E5550">
      <w:t>th Floor</w:t>
    </w:r>
  </w:p>
  <w:p w14:paraId="36AC5CB7" w14:textId="767088CC" w:rsidR="00A150DF" w:rsidRPr="001E5550" w:rsidRDefault="00A150DF" w:rsidP="001E5550">
    <w:pPr>
      <w:pStyle w:val="Header"/>
    </w:pPr>
    <w:r w:rsidRPr="001E5550">
      <w:tab/>
      <w:t xml:space="preserve">F   </w:t>
    </w:r>
    <w:r w:rsidR="001E5550" w:rsidRPr="001E5550">
      <w:t>+1 212 813 6060</w:t>
    </w:r>
    <w:r w:rsidR="009C47D7" w:rsidRPr="001E5550">
      <w:tab/>
    </w:r>
    <w:r w:rsidR="001E5550" w:rsidRPr="001E5550">
      <w:t xml:space="preserve">New </w:t>
    </w:r>
    <w:r w:rsidR="006F6EEE">
      <w:t>York, NY 1000</w:t>
    </w:r>
    <w:r w:rsidR="001E5550" w:rsidRPr="001E5550">
      <w:t>1</w:t>
    </w:r>
  </w:p>
  <w:p w14:paraId="52E1AFF6" w14:textId="4EC7A16D" w:rsidR="00A150DF" w:rsidRPr="001E5550" w:rsidRDefault="00A150DF" w:rsidP="001E5550">
    <w:pPr>
      <w:pStyle w:val="Header"/>
    </w:pPr>
    <w:r w:rsidRPr="001E5550">
      <w:tab/>
      <w:t>marketaxess.com</w:t>
    </w:r>
    <w:r w:rsidR="00B43BFC" w:rsidRPr="001E5550">
      <w:tab/>
    </w:r>
    <w:r w:rsidR="001E5550">
      <w:t>United States of America</w:t>
    </w:r>
  </w:p>
  <w:p w14:paraId="1E5FEAC6" w14:textId="70209EDB" w:rsidR="00A150DF" w:rsidRPr="001E5550" w:rsidRDefault="00A150DF" w:rsidP="001E5550">
    <w:pPr>
      <w:pStyle w:val="Header"/>
    </w:pPr>
  </w:p>
  <w:p w14:paraId="60BE6C1E" w14:textId="77777777" w:rsidR="00A150DF" w:rsidRPr="001E5550" w:rsidRDefault="00A150DF" w:rsidP="001E5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8A79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124E6A"/>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1E0D946"/>
    <w:lvl w:ilvl="0">
      <w:start w:val="1"/>
      <w:numFmt w:val="decimal"/>
      <w:lvlText w:val="%1."/>
      <w:lvlJc w:val="left"/>
      <w:pPr>
        <w:tabs>
          <w:tab w:val="num" w:pos="720"/>
        </w:tabs>
        <w:ind w:left="720" w:hanging="360"/>
      </w:pPr>
    </w:lvl>
  </w:abstractNum>
  <w:abstractNum w:abstractNumId="3" w15:restartNumberingAfterBreak="0">
    <w:nsid w:val="0E5A3497"/>
    <w:multiLevelType w:val="hybridMultilevel"/>
    <w:tmpl w:val="7C80D49E"/>
    <w:lvl w:ilvl="0" w:tplc="A622F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13DE4"/>
    <w:multiLevelType w:val="multilevel"/>
    <w:tmpl w:val="50DEEB10"/>
    <w:lvl w:ilvl="0">
      <w:start w:val="1"/>
      <w:numFmt w:val="bullet"/>
      <w:pStyle w:val="Bullet1"/>
      <w:lvlText w:val=""/>
      <w:lvlJc w:val="left"/>
      <w:pPr>
        <w:ind w:left="288" w:hanging="288"/>
      </w:pPr>
      <w:rPr>
        <w:rFonts w:ascii="Symbol" w:hAnsi="Symbol" w:hint="default"/>
        <w:color w:val="1D5B7F" w:themeColor="accent1"/>
      </w:rPr>
    </w:lvl>
    <w:lvl w:ilvl="1">
      <w:start w:val="1"/>
      <w:numFmt w:val="bullet"/>
      <w:pStyle w:val="Bullet2"/>
      <w:lvlText w:val="—"/>
      <w:lvlJc w:val="left"/>
      <w:pPr>
        <w:ind w:left="576" w:hanging="288"/>
      </w:pPr>
      <w:rPr>
        <w:rFonts w:ascii="Calibri" w:hAnsi="Calibri" w:hint="default"/>
        <w:color w:val="636569" w:themeColor="text2"/>
      </w:rPr>
    </w:lvl>
    <w:lvl w:ilvl="2">
      <w:start w:val="1"/>
      <w:numFmt w:val="bullet"/>
      <w:pStyle w:val="Bullet3"/>
      <w:lvlText w:val="–"/>
      <w:lvlJc w:val="left"/>
      <w:pPr>
        <w:ind w:left="864" w:hanging="288"/>
      </w:pPr>
      <w:rPr>
        <w:rFonts w:ascii="Calibri" w:hAnsi="Calibri" w:hint="default"/>
        <w:color w:val="636569"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EB6BAF"/>
    <w:multiLevelType w:val="multilevel"/>
    <w:tmpl w:val="30FCC44C"/>
    <w:lvl w:ilvl="0">
      <w:start w:val="1"/>
      <w:numFmt w:val="bullet"/>
      <w:lvlText w:val=""/>
      <w:lvlJc w:val="left"/>
      <w:pPr>
        <w:ind w:left="187" w:hanging="187"/>
      </w:pPr>
      <w:rPr>
        <w:rFonts w:ascii="Symbol" w:hAnsi="Symbol" w:hint="default"/>
        <w:color w:val="1D5B7F" w:themeColor="accent1"/>
      </w:rPr>
    </w:lvl>
    <w:lvl w:ilvl="1">
      <w:start w:val="1"/>
      <w:numFmt w:val="bullet"/>
      <w:lvlText w:val="—"/>
      <w:lvlJc w:val="left"/>
      <w:pPr>
        <w:ind w:left="374" w:hanging="187"/>
      </w:pPr>
      <w:rPr>
        <w:rFonts w:ascii="Calibri" w:hAnsi="Calibri" w:hint="default"/>
        <w:color w:val="636569" w:themeColor="text2"/>
      </w:rPr>
    </w:lvl>
    <w:lvl w:ilvl="2">
      <w:start w:val="1"/>
      <w:numFmt w:val="bullet"/>
      <w:lvlText w:val="–"/>
      <w:lvlJc w:val="left"/>
      <w:pPr>
        <w:ind w:left="461" w:hanging="87"/>
      </w:pPr>
      <w:rPr>
        <w:rFonts w:ascii="Calibri" w:hAnsi="Calibri" w:hint="default"/>
        <w:color w:val="636569"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7F0F16"/>
    <w:multiLevelType w:val="hybridMultilevel"/>
    <w:tmpl w:val="E8AE1664"/>
    <w:lvl w:ilvl="0" w:tplc="1BAA8B8A">
      <w:start w:val="1"/>
      <w:numFmt w:val="bullet"/>
      <w:lvlText w:val=""/>
      <w:lvlJc w:val="left"/>
      <w:pPr>
        <w:ind w:left="720" w:hanging="360"/>
      </w:pPr>
      <w:rPr>
        <w:rFonts w:ascii="Symbol" w:hAnsi="Symbol" w:hint="default"/>
      </w:rPr>
    </w:lvl>
    <w:lvl w:ilvl="1" w:tplc="CFDCA1BE" w:tentative="1">
      <w:start w:val="1"/>
      <w:numFmt w:val="bullet"/>
      <w:lvlText w:val="o"/>
      <w:lvlJc w:val="left"/>
      <w:pPr>
        <w:ind w:left="1440" w:hanging="360"/>
      </w:pPr>
      <w:rPr>
        <w:rFonts w:ascii="Courier New" w:hAnsi="Courier New" w:cs="Courier New" w:hint="default"/>
      </w:rPr>
    </w:lvl>
    <w:lvl w:ilvl="2" w:tplc="A27E6928" w:tentative="1">
      <w:start w:val="1"/>
      <w:numFmt w:val="bullet"/>
      <w:lvlText w:val=""/>
      <w:lvlJc w:val="left"/>
      <w:pPr>
        <w:ind w:left="2160" w:hanging="360"/>
      </w:pPr>
      <w:rPr>
        <w:rFonts w:ascii="Wingdings" w:hAnsi="Wingdings" w:hint="default"/>
      </w:rPr>
    </w:lvl>
    <w:lvl w:ilvl="3" w:tplc="9320CE38" w:tentative="1">
      <w:start w:val="1"/>
      <w:numFmt w:val="bullet"/>
      <w:lvlText w:val=""/>
      <w:lvlJc w:val="left"/>
      <w:pPr>
        <w:ind w:left="2880" w:hanging="360"/>
      </w:pPr>
      <w:rPr>
        <w:rFonts w:ascii="Symbol" w:hAnsi="Symbol" w:hint="default"/>
      </w:rPr>
    </w:lvl>
    <w:lvl w:ilvl="4" w:tplc="B20CF7C8" w:tentative="1">
      <w:start w:val="1"/>
      <w:numFmt w:val="bullet"/>
      <w:lvlText w:val="o"/>
      <w:lvlJc w:val="left"/>
      <w:pPr>
        <w:ind w:left="3600" w:hanging="360"/>
      </w:pPr>
      <w:rPr>
        <w:rFonts w:ascii="Courier New" w:hAnsi="Courier New" w:cs="Courier New" w:hint="default"/>
      </w:rPr>
    </w:lvl>
    <w:lvl w:ilvl="5" w:tplc="6554A4E8" w:tentative="1">
      <w:start w:val="1"/>
      <w:numFmt w:val="bullet"/>
      <w:lvlText w:val=""/>
      <w:lvlJc w:val="left"/>
      <w:pPr>
        <w:ind w:left="4320" w:hanging="360"/>
      </w:pPr>
      <w:rPr>
        <w:rFonts w:ascii="Wingdings" w:hAnsi="Wingdings" w:hint="default"/>
      </w:rPr>
    </w:lvl>
    <w:lvl w:ilvl="6" w:tplc="F1145138" w:tentative="1">
      <w:start w:val="1"/>
      <w:numFmt w:val="bullet"/>
      <w:lvlText w:val=""/>
      <w:lvlJc w:val="left"/>
      <w:pPr>
        <w:ind w:left="5040" w:hanging="360"/>
      </w:pPr>
      <w:rPr>
        <w:rFonts w:ascii="Symbol" w:hAnsi="Symbol" w:hint="default"/>
      </w:rPr>
    </w:lvl>
    <w:lvl w:ilvl="7" w:tplc="561C07A4" w:tentative="1">
      <w:start w:val="1"/>
      <w:numFmt w:val="bullet"/>
      <w:lvlText w:val="o"/>
      <w:lvlJc w:val="left"/>
      <w:pPr>
        <w:ind w:left="5760" w:hanging="360"/>
      </w:pPr>
      <w:rPr>
        <w:rFonts w:ascii="Courier New" w:hAnsi="Courier New" w:cs="Courier New" w:hint="default"/>
      </w:rPr>
    </w:lvl>
    <w:lvl w:ilvl="8" w:tplc="5E52DAEC" w:tentative="1">
      <w:start w:val="1"/>
      <w:numFmt w:val="bullet"/>
      <w:lvlText w:val=""/>
      <w:lvlJc w:val="left"/>
      <w:pPr>
        <w:ind w:left="6480" w:hanging="360"/>
      </w:pPr>
      <w:rPr>
        <w:rFonts w:ascii="Wingdings" w:hAnsi="Wingdings" w:hint="default"/>
      </w:rPr>
    </w:lvl>
  </w:abstractNum>
  <w:abstractNum w:abstractNumId="7" w15:restartNumberingAfterBreak="0">
    <w:nsid w:val="65287889"/>
    <w:multiLevelType w:val="hybridMultilevel"/>
    <w:tmpl w:val="2E32A8A2"/>
    <w:lvl w:ilvl="0" w:tplc="7CE6F4E2">
      <w:start w:val="1"/>
      <w:numFmt w:val="lowerRoman"/>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834B1"/>
    <w:multiLevelType w:val="hybridMultilevel"/>
    <w:tmpl w:val="B68223A4"/>
    <w:lvl w:ilvl="0" w:tplc="2910BA2C">
      <w:start w:val="30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12F"/>
    <w:rsid w:val="00004559"/>
    <w:rsid w:val="000068CA"/>
    <w:rsid w:val="00015021"/>
    <w:rsid w:val="00021176"/>
    <w:rsid w:val="00055C55"/>
    <w:rsid w:val="0005672A"/>
    <w:rsid w:val="000B036E"/>
    <w:rsid w:val="000B0F34"/>
    <w:rsid w:val="000B19AA"/>
    <w:rsid w:val="000B57F0"/>
    <w:rsid w:val="00103220"/>
    <w:rsid w:val="00132893"/>
    <w:rsid w:val="00142EE2"/>
    <w:rsid w:val="0019782B"/>
    <w:rsid w:val="001A2905"/>
    <w:rsid w:val="001B6EC9"/>
    <w:rsid w:val="001E5550"/>
    <w:rsid w:val="001F286C"/>
    <w:rsid w:val="0023302E"/>
    <w:rsid w:val="0023405D"/>
    <w:rsid w:val="002D2D42"/>
    <w:rsid w:val="002D520E"/>
    <w:rsid w:val="002F0297"/>
    <w:rsid w:val="00303F50"/>
    <w:rsid w:val="003041C3"/>
    <w:rsid w:val="003103D3"/>
    <w:rsid w:val="00317B03"/>
    <w:rsid w:val="00342D63"/>
    <w:rsid w:val="003616E6"/>
    <w:rsid w:val="003F4C17"/>
    <w:rsid w:val="003F702D"/>
    <w:rsid w:val="00402C72"/>
    <w:rsid w:val="00406B5F"/>
    <w:rsid w:val="00412134"/>
    <w:rsid w:val="0043205D"/>
    <w:rsid w:val="00440690"/>
    <w:rsid w:val="00472A48"/>
    <w:rsid w:val="00487D58"/>
    <w:rsid w:val="004C2DD2"/>
    <w:rsid w:val="004F2B00"/>
    <w:rsid w:val="00500B69"/>
    <w:rsid w:val="0055706F"/>
    <w:rsid w:val="005658FB"/>
    <w:rsid w:val="00586085"/>
    <w:rsid w:val="005B2114"/>
    <w:rsid w:val="005C3D68"/>
    <w:rsid w:val="005F31E7"/>
    <w:rsid w:val="00654498"/>
    <w:rsid w:val="006561D3"/>
    <w:rsid w:val="00657D9B"/>
    <w:rsid w:val="006649FF"/>
    <w:rsid w:val="006706D0"/>
    <w:rsid w:val="0068148F"/>
    <w:rsid w:val="00681EDC"/>
    <w:rsid w:val="0068245E"/>
    <w:rsid w:val="0069626F"/>
    <w:rsid w:val="0069726B"/>
    <w:rsid w:val="006C351F"/>
    <w:rsid w:val="006D3669"/>
    <w:rsid w:val="006F6EEE"/>
    <w:rsid w:val="00705830"/>
    <w:rsid w:val="00723639"/>
    <w:rsid w:val="00727D63"/>
    <w:rsid w:val="00753C31"/>
    <w:rsid w:val="00761607"/>
    <w:rsid w:val="00762B2F"/>
    <w:rsid w:val="00775F9F"/>
    <w:rsid w:val="0078327C"/>
    <w:rsid w:val="007B14CC"/>
    <w:rsid w:val="007B6DF5"/>
    <w:rsid w:val="007B6E0F"/>
    <w:rsid w:val="008C0ECD"/>
    <w:rsid w:val="008F542C"/>
    <w:rsid w:val="00913F06"/>
    <w:rsid w:val="00950481"/>
    <w:rsid w:val="009658A1"/>
    <w:rsid w:val="00976EC9"/>
    <w:rsid w:val="009A092A"/>
    <w:rsid w:val="009A6608"/>
    <w:rsid w:val="009C47D7"/>
    <w:rsid w:val="00A150DF"/>
    <w:rsid w:val="00A35A74"/>
    <w:rsid w:val="00A464DC"/>
    <w:rsid w:val="00A52D42"/>
    <w:rsid w:val="00A750F9"/>
    <w:rsid w:val="00A811D3"/>
    <w:rsid w:val="00A863D1"/>
    <w:rsid w:val="00A95179"/>
    <w:rsid w:val="00AB0CC5"/>
    <w:rsid w:val="00AB5D58"/>
    <w:rsid w:val="00AE0D6E"/>
    <w:rsid w:val="00B05307"/>
    <w:rsid w:val="00B1195C"/>
    <w:rsid w:val="00B37DD2"/>
    <w:rsid w:val="00B4044B"/>
    <w:rsid w:val="00B43BFC"/>
    <w:rsid w:val="00B549D0"/>
    <w:rsid w:val="00B84143"/>
    <w:rsid w:val="00BA06AD"/>
    <w:rsid w:val="00BA7ADD"/>
    <w:rsid w:val="00BB5363"/>
    <w:rsid w:val="00C04A76"/>
    <w:rsid w:val="00C6145E"/>
    <w:rsid w:val="00C71317"/>
    <w:rsid w:val="00C771FC"/>
    <w:rsid w:val="00C80E74"/>
    <w:rsid w:val="00CB756F"/>
    <w:rsid w:val="00CF3928"/>
    <w:rsid w:val="00D94493"/>
    <w:rsid w:val="00D947CA"/>
    <w:rsid w:val="00DB012F"/>
    <w:rsid w:val="00DB24CA"/>
    <w:rsid w:val="00DB691A"/>
    <w:rsid w:val="00DD269D"/>
    <w:rsid w:val="00DF5187"/>
    <w:rsid w:val="00E1364B"/>
    <w:rsid w:val="00E331E1"/>
    <w:rsid w:val="00E558F6"/>
    <w:rsid w:val="00E65214"/>
    <w:rsid w:val="00EA6A13"/>
    <w:rsid w:val="00ED0786"/>
    <w:rsid w:val="00EE1758"/>
    <w:rsid w:val="00F02C7D"/>
    <w:rsid w:val="00F262CA"/>
    <w:rsid w:val="00F41ECD"/>
    <w:rsid w:val="00F61D64"/>
    <w:rsid w:val="00FA074C"/>
    <w:rsid w:val="00FA45CC"/>
    <w:rsid w:val="00FC5B6D"/>
    <w:rsid w:val="00FD0540"/>
    <w:rsid w:val="00FE2912"/>
    <w:rsid w:val="686FF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8584843"/>
  <w14:defaultImageDpi w14:val="330"/>
  <w15:docId w15:val="{CB099B1F-6423-481F-99DF-06504538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786"/>
    <w:pPr>
      <w:spacing w:before="120" w:line="264" w:lineRule="auto"/>
    </w:pPr>
    <w:rPr>
      <w:rFonts w:asciiTheme="minorHAnsi" w:hAnsiTheme="minorHAnsi"/>
      <w:sz w:val="24"/>
      <w:szCs w:val="24"/>
    </w:rPr>
  </w:style>
  <w:style w:type="paragraph" w:styleId="Heading1">
    <w:name w:val="heading 1"/>
    <w:basedOn w:val="Normal"/>
    <w:next w:val="Normal"/>
    <w:link w:val="Heading1Char"/>
    <w:qFormat/>
    <w:rsid w:val="00ED0786"/>
    <w:pPr>
      <w:keepNext/>
      <w:keepLines/>
      <w:spacing w:before="240" w:line="240" w:lineRule="auto"/>
      <w:outlineLvl w:val="0"/>
    </w:pPr>
    <w:rPr>
      <w:rFonts w:asciiTheme="majorHAnsi" w:eastAsiaTheme="majorEastAsia" w:hAnsiTheme="majorHAnsi" w:cstheme="majorBidi"/>
      <w:b/>
      <w:caps/>
      <w:color w:val="1D5B7F" w:themeColor="accent1"/>
      <w:sz w:val="32"/>
      <w:szCs w:val="32"/>
    </w:rPr>
  </w:style>
  <w:style w:type="paragraph" w:styleId="Heading2">
    <w:name w:val="heading 2"/>
    <w:basedOn w:val="Normal"/>
    <w:next w:val="Normal"/>
    <w:link w:val="Heading2Char"/>
    <w:unhideWhenUsed/>
    <w:qFormat/>
    <w:rsid w:val="00ED0786"/>
    <w:pPr>
      <w:keepNext/>
      <w:keepLines/>
      <w:spacing w:before="160" w:line="240" w:lineRule="auto"/>
      <w:outlineLvl w:val="1"/>
    </w:pPr>
    <w:rPr>
      <w:rFonts w:asciiTheme="majorHAnsi" w:eastAsiaTheme="majorEastAsia" w:hAnsiTheme="majorHAnsi" w:cstheme="majorBidi"/>
      <w:b/>
      <w:color w:val="5C84C4" w:themeColor="accent4"/>
      <w:sz w:val="26"/>
      <w:szCs w:val="26"/>
    </w:rPr>
  </w:style>
  <w:style w:type="paragraph" w:styleId="Heading3">
    <w:name w:val="heading 3"/>
    <w:basedOn w:val="Normal"/>
    <w:next w:val="Normal"/>
    <w:link w:val="Heading3Char"/>
    <w:unhideWhenUsed/>
    <w:qFormat/>
    <w:rsid w:val="00ED0786"/>
    <w:pPr>
      <w:keepNext/>
      <w:keepLines/>
      <w:spacing w:before="80" w:line="240" w:lineRule="auto"/>
      <w:outlineLvl w:val="2"/>
    </w:pPr>
    <w:rPr>
      <w:rFonts w:asciiTheme="majorHAnsi" w:eastAsiaTheme="majorEastAsia" w:hAnsiTheme="majorHAnsi" w:cstheme="majorBidi"/>
      <w:b/>
      <w:caps/>
      <w:color w:val="636569" w:themeColor="text2"/>
    </w:rPr>
  </w:style>
  <w:style w:type="paragraph" w:styleId="Heading4">
    <w:name w:val="heading 4"/>
    <w:basedOn w:val="Normal"/>
    <w:next w:val="Normal"/>
    <w:link w:val="Heading4Char"/>
    <w:unhideWhenUsed/>
    <w:qFormat/>
    <w:rsid w:val="00015021"/>
    <w:pPr>
      <w:keepNext/>
      <w:keepLines/>
      <w:spacing w:before="40"/>
      <w:outlineLvl w:val="3"/>
    </w:pPr>
    <w:rPr>
      <w:rFonts w:asciiTheme="majorHAnsi" w:eastAsiaTheme="majorEastAsia" w:hAnsiTheme="majorHAnsi" w:cstheme="majorBidi"/>
      <w:i/>
      <w:iCs/>
      <w:color w:val="15435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550"/>
    <w:pPr>
      <w:tabs>
        <w:tab w:val="left" w:pos="5130"/>
        <w:tab w:val="left" w:pos="6930"/>
      </w:tabs>
      <w:spacing w:before="0" w:line="240" w:lineRule="auto"/>
    </w:pPr>
    <w:rPr>
      <w:rFonts w:ascii="Segoe UI" w:hAnsi="Segoe UI" w:cs="Arial"/>
      <w:noProof/>
      <w:color w:val="636569" w:themeColor="text2"/>
      <w:sz w:val="16"/>
      <w:szCs w:val="16"/>
    </w:rPr>
  </w:style>
  <w:style w:type="paragraph" w:styleId="Footer">
    <w:name w:val="footer"/>
    <w:basedOn w:val="Header"/>
    <w:rsid w:val="00ED0786"/>
    <w:rPr>
      <w:rFonts w:cstheme="minorHAnsi"/>
      <w:color w:val="848486" w:themeColor="accent6"/>
    </w:rPr>
  </w:style>
  <w:style w:type="paragraph" w:styleId="BalloonText">
    <w:name w:val="Balloon Text"/>
    <w:basedOn w:val="Normal"/>
    <w:semiHidden/>
    <w:rsid w:val="00500B69"/>
    <w:rPr>
      <w:rFonts w:ascii="Tahoma" w:hAnsi="Tahoma" w:cs="Tahoma"/>
      <w:sz w:val="16"/>
      <w:szCs w:val="16"/>
    </w:rPr>
  </w:style>
  <w:style w:type="paragraph" w:customStyle="1" w:styleId="BasicParagraph">
    <w:name w:val="[Basic Paragraph]"/>
    <w:basedOn w:val="Normal"/>
    <w:uiPriority w:val="99"/>
    <w:rsid w:val="00015021"/>
    <w:pPr>
      <w:widowControl w:val="0"/>
      <w:autoSpaceDE w:val="0"/>
      <w:autoSpaceDN w:val="0"/>
      <w:adjustRightInd w:val="0"/>
      <w:spacing w:line="288" w:lineRule="auto"/>
      <w:textAlignment w:val="center"/>
    </w:pPr>
    <w:rPr>
      <w:rFonts w:cs="MinionPro-Regular"/>
      <w:color w:val="000000" w:themeColor="text1"/>
    </w:rPr>
  </w:style>
  <w:style w:type="table" w:styleId="TableGrid">
    <w:name w:val="Table Grid"/>
    <w:basedOn w:val="TableNormal"/>
    <w:rsid w:val="0040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0786"/>
    <w:rPr>
      <w:rFonts w:asciiTheme="majorHAnsi" w:eastAsiaTheme="majorEastAsia" w:hAnsiTheme="majorHAnsi" w:cstheme="majorBidi"/>
      <w:b/>
      <w:caps/>
      <w:color w:val="1D5B7F" w:themeColor="accent1"/>
      <w:sz w:val="32"/>
      <w:szCs w:val="32"/>
    </w:rPr>
  </w:style>
  <w:style w:type="character" w:customStyle="1" w:styleId="Heading2Char">
    <w:name w:val="Heading 2 Char"/>
    <w:basedOn w:val="DefaultParagraphFont"/>
    <w:link w:val="Heading2"/>
    <w:rsid w:val="00ED0786"/>
    <w:rPr>
      <w:rFonts w:asciiTheme="majorHAnsi" w:eastAsiaTheme="majorEastAsia" w:hAnsiTheme="majorHAnsi" w:cstheme="majorBidi"/>
      <w:b/>
      <w:color w:val="5C84C4" w:themeColor="accent4"/>
      <w:sz w:val="26"/>
      <w:szCs w:val="26"/>
    </w:rPr>
  </w:style>
  <w:style w:type="character" w:customStyle="1" w:styleId="Heading3Char">
    <w:name w:val="Heading 3 Char"/>
    <w:basedOn w:val="DefaultParagraphFont"/>
    <w:link w:val="Heading3"/>
    <w:rsid w:val="00ED0786"/>
    <w:rPr>
      <w:rFonts w:asciiTheme="majorHAnsi" w:eastAsiaTheme="majorEastAsia" w:hAnsiTheme="majorHAnsi" w:cstheme="majorBidi"/>
      <w:b/>
      <w:caps/>
      <w:color w:val="636569" w:themeColor="text2"/>
      <w:sz w:val="24"/>
      <w:szCs w:val="24"/>
    </w:rPr>
  </w:style>
  <w:style w:type="character" w:customStyle="1" w:styleId="Heading4Char">
    <w:name w:val="Heading 4 Char"/>
    <w:basedOn w:val="DefaultParagraphFont"/>
    <w:link w:val="Heading4"/>
    <w:rsid w:val="00015021"/>
    <w:rPr>
      <w:rFonts w:asciiTheme="majorHAnsi" w:eastAsiaTheme="majorEastAsia" w:hAnsiTheme="majorHAnsi" w:cstheme="majorBidi"/>
      <w:i/>
      <w:iCs/>
      <w:color w:val="15435E" w:themeColor="accent1" w:themeShade="BF"/>
      <w:sz w:val="24"/>
      <w:szCs w:val="24"/>
    </w:rPr>
  </w:style>
  <w:style w:type="paragraph" w:styleId="ListParagraph">
    <w:name w:val="List Paragraph"/>
    <w:basedOn w:val="Bullet1"/>
    <w:uiPriority w:val="34"/>
    <w:qFormat/>
    <w:rsid w:val="00ED0786"/>
  </w:style>
  <w:style w:type="paragraph" w:styleId="ListBullet">
    <w:name w:val="List Bullet"/>
    <w:basedOn w:val="Normal"/>
    <w:unhideWhenUsed/>
    <w:rsid w:val="008F542C"/>
    <w:pPr>
      <w:contextualSpacing/>
    </w:pPr>
  </w:style>
  <w:style w:type="paragraph" w:customStyle="1" w:styleId="Bullet1">
    <w:name w:val="Bullet 1"/>
    <w:basedOn w:val="Normal"/>
    <w:rsid w:val="00ED0786"/>
    <w:pPr>
      <w:numPr>
        <w:numId w:val="7"/>
      </w:numPr>
      <w:spacing w:line="240" w:lineRule="auto"/>
    </w:pPr>
  </w:style>
  <w:style w:type="paragraph" w:customStyle="1" w:styleId="Bullet2">
    <w:name w:val="Bullet 2"/>
    <w:basedOn w:val="Normal"/>
    <w:rsid w:val="00ED0786"/>
    <w:pPr>
      <w:numPr>
        <w:ilvl w:val="1"/>
        <w:numId w:val="7"/>
      </w:numPr>
      <w:spacing w:before="60" w:after="60" w:line="216" w:lineRule="auto"/>
    </w:pPr>
  </w:style>
  <w:style w:type="paragraph" w:customStyle="1" w:styleId="Bullet3">
    <w:name w:val="Bullet 3"/>
    <w:basedOn w:val="Normal"/>
    <w:rsid w:val="00ED0786"/>
    <w:pPr>
      <w:numPr>
        <w:ilvl w:val="2"/>
        <w:numId w:val="7"/>
      </w:numPr>
      <w:spacing w:before="40" w:after="40" w:line="216" w:lineRule="auto"/>
    </w:pPr>
  </w:style>
  <w:style w:type="character" w:styleId="CommentReference">
    <w:name w:val="annotation reference"/>
    <w:basedOn w:val="DefaultParagraphFont"/>
    <w:semiHidden/>
    <w:unhideWhenUsed/>
    <w:rsid w:val="00C04A76"/>
    <w:rPr>
      <w:sz w:val="16"/>
      <w:szCs w:val="16"/>
    </w:rPr>
  </w:style>
  <w:style w:type="paragraph" w:styleId="CommentText">
    <w:name w:val="annotation text"/>
    <w:basedOn w:val="Normal"/>
    <w:link w:val="CommentTextChar"/>
    <w:semiHidden/>
    <w:unhideWhenUsed/>
    <w:rsid w:val="00C04A76"/>
    <w:pPr>
      <w:spacing w:line="240" w:lineRule="auto"/>
    </w:pPr>
    <w:rPr>
      <w:sz w:val="20"/>
      <w:szCs w:val="20"/>
    </w:rPr>
  </w:style>
  <w:style w:type="character" w:customStyle="1" w:styleId="CommentTextChar">
    <w:name w:val="Comment Text Char"/>
    <w:basedOn w:val="DefaultParagraphFont"/>
    <w:link w:val="CommentText"/>
    <w:semiHidden/>
    <w:rsid w:val="00C04A76"/>
    <w:rPr>
      <w:rFonts w:asciiTheme="minorHAnsi" w:hAnsiTheme="minorHAnsi"/>
    </w:rPr>
  </w:style>
  <w:style w:type="paragraph" w:styleId="CommentSubject">
    <w:name w:val="annotation subject"/>
    <w:basedOn w:val="CommentText"/>
    <w:next w:val="CommentText"/>
    <w:link w:val="CommentSubjectChar"/>
    <w:semiHidden/>
    <w:unhideWhenUsed/>
    <w:rsid w:val="00C04A76"/>
    <w:rPr>
      <w:b/>
      <w:bCs/>
    </w:rPr>
  </w:style>
  <w:style w:type="character" w:customStyle="1" w:styleId="CommentSubjectChar">
    <w:name w:val="Comment Subject Char"/>
    <w:basedOn w:val="CommentTextChar"/>
    <w:link w:val="CommentSubject"/>
    <w:semiHidden/>
    <w:rsid w:val="00C04A76"/>
    <w:rPr>
      <w:rFonts w:asciiTheme="minorHAnsi" w:hAnsiTheme="minorHAnsi"/>
      <w:b/>
      <w:bCs/>
    </w:rPr>
  </w:style>
  <w:style w:type="paragraph" w:customStyle="1" w:styleId="SingleSpace">
    <w:name w:val="Single Space"/>
    <w:basedOn w:val="Normal"/>
    <w:link w:val="SingleSpaceChar"/>
    <w:rsid w:val="00B05307"/>
    <w:pPr>
      <w:spacing w:before="0" w:line="240" w:lineRule="auto"/>
    </w:pPr>
    <w:rPr>
      <w:rFonts w:ascii="Times New Roman" w:hAnsi="Times New Roman"/>
    </w:rPr>
  </w:style>
  <w:style w:type="character" w:customStyle="1" w:styleId="SingleSpaceChar">
    <w:name w:val="Single Space Char"/>
    <w:basedOn w:val="DefaultParagraphFont"/>
    <w:link w:val="SingleSpace"/>
    <w:rsid w:val="00B053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10258">
      <w:bodyDiv w:val="1"/>
      <w:marLeft w:val="0"/>
      <w:marRight w:val="0"/>
      <w:marTop w:val="0"/>
      <w:marBottom w:val="0"/>
      <w:divBdr>
        <w:top w:val="none" w:sz="0" w:space="0" w:color="auto"/>
        <w:left w:val="none" w:sz="0" w:space="0" w:color="auto"/>
        <w:bottom w:val="none" w:sz="0" w:space="0" w:color="auto"/>
        <w:right w:val="none" w:sz="0" w:space="0" w:color="auto"/>
      </w:divBdr>
      <w:divsChild>
        <w:div w:id="1278172295">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arketAxes">
  <a:themeElements>
    <a:clrScheme name="MKTX">
      <a:dk1>
        <a:srgbClr val="000000"/>
      </a:dk1>
      <a:lt1>
        <a:sysClr val="window" lastClr="FFFFFF"/>
      </a:lt1>
      <a:dk2>
        <a:srgbClr val="636569"/>
      </a:dk2>
      <a:lt2>
        <a:srgbClr val="EFEDE7"/>
      </a:lt2>
      <a:accent1>
        <a:srgbClr val="1D5B7F"/>
      </a:accent1>
      <a:accent2>
        <a:srgbClr val="76B34D"/>
      </a:accent2>
      <a:accent3>
        <a:srgbClr val="D16A31"/>
      </a:accent3>
      <a:accent4>
        <a:srgbClr val="5C84C4"/>
      </a:accent4>
      <a:accent5>
        <a:srgbClr val="82447F"/>
      </a:accent5>
      <a:accent6>
        <a:srgbClr val="848486"/>
      </a:accent6>
      <a:hlink>
        <a:srgbClr val="A42A47"/>
      </a:hlink>
      <a:folHlink>
        <a:srgbClr val="F8DC32"/>
      </a:folHlink>
    </a:clrScheme>
    <a:fontScheme name="MarketAxes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ABC8"/>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D54022BE17C3914EB002D26A9E9011A5" ma:contentTypeVersion="28" ma:contentTypeDescription="" ma:contentTypeScope="" ma:versionID="7bc98bc1758a8f31d02d558dacaf9ecf">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91ba989f-0b1f-49a6-8f36-7649435348fa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2021-08-31T21:00:50+00:00</Document_x0020_Date>
    <Document_x0020_No xmlns="4b47aac5-4c46-444f-8595-ce09b406fc61">64270</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8110CD9B-1AEC-46F2-A4B3-01FC70E5A25B}"/>
</file>

<file path=customXml/itemProps2.xml><?xml version="1.0" encoding="utf-8"?>
<ds:datastoreItem xmlns:ds="http://schemas.openxmlformats.org/officeDocument/2006/customXml" ds:itemID="{FC2E61FE-A0F5-4356-A317-9FE64D60E08E}"/>
</file>

<file path=customXml/itemProps3.xml><?xml version="1.0" encoding="utf-8"?>
<ds:datastoreItem xmlns:ds="http://schemas.openxmlformats.org/officeDocument/2006/customXml" ds:itemID="{D3D80672-AFAF-4039-8BAA-A0B9C49EC8F1}"/>
</file>

<file path=customXml/itemProps4.xml><?xml version="1.0" encoding="utf-8"?>
<ds:datastoreItem xmlns:ds="http://schemas.openxmlformats.org/officeDocument/2006/customXml" ds:itemID="{C5CDAF6D-E7DD-469C-9FB0-CCE57E9ED669}"/>
</file>

<file path=docProps/app.xml><?xml version="1.0" encoding="utf-8"?>
<Properties xmlns="http://schemas.openxmlformats.org/officeDocument/2006/extended-properties" xmlns:vt="http://schemas.openxmlformats.org/officeDocument/2006/docPropsVTypes">
  <Template>Normal</Template>
  <TotalTime>1</TotalTime>
  <Pages>5</Pages>
  <Words>369</Words>
  <Characters>2038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cp:lastModifiedBy>Ron Steinfeld</cp:lastModifiedBy>
  <cp:revision>2</cp:revision>
  <cp:lastPrinted>1900-01-01T07:00:00Z</cp:lastPrinted>
  <dcterms:created xsi:type="dcterms:W3CDTF">2021-08-31T20:50:00Z</dcterms:created>
  <dcterms:modified xsi:type="dcterms:W3CDTF">2021-08-31T20:50:00Z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0x01010045B0BEB1BCDC4B408D1662109AEB463800D54022BE17C3914EB002D26A9E9011A5</vt:lpwstr>
  </property>
  <property fmtid="{D5CDD505-2E9C-101B-9397-08002B2CF9AE}" pid="3" name="Order">
    <vt:r8>3429000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