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A" w:rsidRPr="00342DDA" w:rsidRDefault="00342DDA">
      <w:pPr>
        <w:rPr>
          <w:rFonts w:ascii="Times New Roman" w:hAnsi="Times New Roman" w:cs="Times New Roman"/>
        </w:rPr>
      </w:pPr>
    </w:p>
    <w:p w:rsidR="00342DDA" w:rsidRPr="00342DDA" w:rsidRDefault="00342DDA" w:rsidP="00342DD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42DDA">
        <w:rPr>
          <w:rFonts w:ascii="Times New Roman" w:hAnsi="Times New Roman" w:cs="Times New Roman"/>
          <w:b/>
          <w:sz w:val="44"/>
          <w:szCs w:val="44"/>
          <w:u w:val="single"/>
        </w:rPr>
        <w:t>GFI SWAPS EXCHANGE LLC</w:t>
      </w:r>
    </w:p>
    <w:p w:rsidR="00342DDA" w:rsidRPr="00342DDA" w:rsidRDefault="00342DDA" w:rsidP="00342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DDA">
        <w:rPr>
          <w:rFonts w:ascii="Times New Roman" w:hAnsi="Times New Roman" w:cs="Times New Roman"/>
          <w:b/>
          <w:sz w:val="36"/>
          <w:szCs w:val="36"/>
        </w:rPr>
        <w:t>Notice to Participants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7446"/>
      </w:tblGrid>
      <w:tr w:rsidR="00342DDA" w:rsidRPr="00342DDA" w:rsidTr="00342DDA">
        <w:trPr>
          <w:trHeight w:hRule="exact" w:val="35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342DDA" w:rsidRDefault="00342DDA" w:rsidP="00D807B1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DDA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Notice</w:t>
            </w:r>
            <w:r w:rsidRPr="00342DDA">
              <w:rPr>
                <w:rFonts w:ascii="Times New Roman" w:eastAsia="Calibri" w:hAnsi="Times New Roman" w:cs="Times New Roman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342DDA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N</w:t>
            </w:r>
            <w:r w:rsidRPr="00342DD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o.: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2E50AD" w:rsidRDefault="00155A4C" w:rsidP="007B2B0E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15-1</w:t>
            </w:r>
          </w:p>
        </w:tc>
      </w:tr>
      <w:tr w:rsidR="00342DDA" w:rsidRPr="00342DDA" w:rsidTr="00342DDA">
        <w:trPr>
          <w:trHeight w:hRule="exact" w:val="35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342DDA" w:rsidRDefault="00342DDA" w:rsidP="00D807B1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DDA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Issue</w:t>
            </w:r>
            <w:r w:rsidRPr="00342DDA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 w:rsidRPr="00342DD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8"/>
                <w:szCs w:val="28"/>
              </w:rPr>
              <w:t>D</w:t>
            </w:r>
            <w:r w:rsidRPr="00342DDA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a</w:t>
            </w:r>
            <w:r w:rsidRPr="00342DD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te: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Default="0067350A" w:rsidP="00155A4C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A</w:t>
            </w:r>
            <w:r w:rsidR="00155A4C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ugust 6</w:t>
            </w: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, 2015</w:t>
            </w:r>
          </w:p>
          <w:p w:rsidR="00F51963" w:rsidRPr="00342DDA" w:rsidRDefault="00F51963" w:rsidP="00155A4C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963" w:rsidRPr="00342DDA" w:rsidTr="00F51963">
        <w:trPr>
          <w:trHeight w:hRule="exact" w:val="76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63" w:rsidRPr="00342DDA" w:rsidRDefault="00F51963" w:rsidP="00D807B1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Effective Date: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63" w:rsidRDefault="00F51963" w:rsidP="00155A4C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August 19, 2015</w:t>
            </w:r>
          </w:p>
        </w:tc>
      </w:tr>
      <w:tr w:rsidR="00342DDA" w:rsidRPr="00342DDA" w:rsidTr="00646E29">
        <w:trPr>
          <w:trHeight w:hRule="exact" w:val="9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342DDA" w:rsidRDefault="00342DDA" w:rsidP="00D807B1">
            <w:pPr>
              <w:spacing w:after="0" w:line="339" w:lineRule="exact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DDA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Subje</w:t>
            </w:r>
            <w:r w:rsidRPr="00342DD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c</w:t>
            </w:r>
            <w:r w:rsidRPr="00342DDA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t: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342DDA" w:rsidRDefault="00646E29" w:rsidP="004C591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 xml:space="preserve">Block Trade </w:t>
            </w:r>
            <w:r w:rsidR="00D24374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Treatment of Package Transactions</w:t>
            </w:r>
          </w:p>
        </w:tc>
      </w:tr>
    </w:tbl>
    <w:p w:rsidR="00225DA1" w:rsidRPr="00342DDA" w:rsidRDefault="00225DA1" w:rsidP="00225DA1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4415A" w:rsidRDefault="00225DA1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272D">
        <w:rPr>
          <w:rFonts w:ascii="Times New Roman" w:hAnsi="Times New Roman" w:cs="Times New Roman"/>
          <w:sz w:val="24"/>
          <w:szCs w:val="24"/>
        </w:rPr>
        <w:t>following Notice to Participants</w:t>
      </w:r>
      <w:r>
        <w:rPr>
          <w:rFonts w:ascii="Times New Roman" w:hAnsi="Times New Roman" w:cs="Times New Roman"/>
          <w:sz w:val="24"/>
          <w:szCs w:val="24"/>
        </w:rPr>
        <w:t xml:space="preserve"> describes the treatment of Package Transactions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E29">
        <w:rPr>
          <w:rFonts w:ascii="Times New Roman" w:hAnsi="Times New Roman" w:cs="Times New Roman"/>
          <w:sz w:val="24"/>
          <w:szCs w:val="24"/>
        </w:rPr>
        <w:t xml:space="preserve">that have at least one component (leg) that is a Required Transaction.  This Notice is </w:t>
      </w:r>
      <w:r w:rsidR="00CE272D">
        <w:rPr>
          <w:rFonts w:ascii="Times New Roman" w:hAnsi="Times New Roman" w:cs="Times New Roman"/>
          <w:sz w:val="24"/>
          <w:szCs w:val="24"/>
        </w:rPr>
        <w:t xml:space="preserve">consistent with no-action relief </w:t>
      </w:r>
      <w:r w:rsidR="00646E29">
        <w:rPr>
          <w:rFonts w:ascii="Times New Roman" w:hAnsi="Times New Roman" w:cs="Times New Roman"/>
          <w:sz w:val="24"/>
          <w:szCs w:val="24"/>
        </w:rPr>
        <w:t xml:space="preserve">issued </w:t>
      </w:r>
      <w:r w:rsidR="00CE272D">
        <w:rPr>
          <w:rFonts w:ascii="Times New Roman" w:hAnsi="Times New Roman" w:cs="Times New Roman"/>
          <w:sz w:val="24"/>
          <w:szCs w:val="24"/>
        </w:rPr>
        <w:t xml:space="preserve">by the </w:t>
      </w:r>
      <w:r w:rsidR="00F66602">
        <w:rPr>
          <w:rFonts w:ascii="Times New Roman" w:hAnsi="Times New Roman" w:cs="Times New Roman"/>
          <w:sz w:val="24"/>
          <w:szCs w:val="24"/>
        </w:rPr>
        <w:t xml:space="preserve">CFTC’s </w:t>
      </w:r>
      <w:r w:rsidR="00CE272D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CE272D">
        <w:rPr>
          <w:rFonts w:ascii="Times New Roman" w:hAnsi="Times New Roman" w:cs="Times New Roman"/>
          <w:sz w:val="24"/>
          <w:szCs w:val="24"/>
        </w:rPr>
        <w:t>ivision of Market Oversight.</w:t>
      </w:r>
      <w:r w:rsidR="00CE272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A6278E" w:rsidRDefault="00A6278E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8E">
        <w:rPr>
          <w:rFonts w:ascii="Times New Roman" w:hAnsi="Times New Roman" w:cs="Times New Roman"/>
          <w:b/>
          <w:sz w:val="24"/>
          <w:szCs w:val="24"/>
        </w:rPr>
        <w:t xml:space="preserve">MAT/MAT.  </w:t>
      </w:r>
      <w:r w:rsidR="004915A0">
        <w:rPr>
          <w:rFonts w:ascii="Times New Roman" w:hAnsi="Times New Roman" w:cs="Times New Roman"/>
          <w:sz w:val="24"/>
          <w:szCs w:val="24"/>
        </w:rPr>
        <w:t xml:space="preserve">Each component of </w:t>
      </w:r>
      <w:r w:rsidR="00646E29">
        <w:rPr>
          <w:rFonts w:ascii="Times New Roman" w:hAnsi="Times New Roman" w:cs="Times New Roman"/>
          <w:sz w:val="24"/>
          <w:szCs w:val="24"/>
        </w:rPr>
        <w:t xml:space="preserve">the </w:t>
      </w:r>
      <w:r w:rsidR="004915A0">
        <w:rPr>
          <w:rFonts w:ascii="Times New Roman" w:hAnsi="Times New Roman" w:cs="Times New Roman"/>
          <w:sz w:val="24"/>
          <w:szCs w:val="24"/>
        </w:rPr>
        <w:t>Package Transaction is a Required Transaction.</w:t>
      </w:r>
    </w:p>
    <w:p w:rsidR="007D78C2" w:rsidRPr="007D78C2" w:rsidRDefault="00FE2EAD" w:rsidP="00FE2EA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E2EAD">
        <w:rPr>
          <w:rFonts w:ascii="Times New Roman" w:hAnsi="Times New Roman" w:cs="Times New Roman"/>
          <w:sz w:val="24"/>
          <w:szCs w:val="24"/>
        </w:rPr>
        <w:t>MAT/MAT</w:t>
      </w:r>
      <w:r w:rsidR="0068386E">
        <w:rPr>
          <w:rFonts w:ascii="Times New Roman" w:hAnsi="Times New Roman" w:cs="Times New Roman"/>
          <w:sz w:val="24"/>
          <w:szCs w:val="24"/>
        </w:rPr>
        <w:t xml:space="preserve"> Package Transaction may be </w:t>
      </w:r>
      <w:proofErr w:type="gramStart"/>
      <w:r w:rsidR="001127F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68386E">
        <w:rPr>
          <w:rFonts w:ascii="Times New Roman" w:hAnsi="Times New Roman" w:cs="Times New Roman"/>
          <w:sz w:val="24"/>
          <w:szCs w:val="24"/>
        </w:rPr>
        <w:t xml:space="preserve"> as a Block Trade </w:t>
      </w:r>
      <w:r w:rsidR="00646E29">
        <w:rPr>
          <w:rFonts w:ascii="Times New Roman" w:hAnsi="Times New Roman" w:cs="Times New Roman"/>
          <w:sz w:val="24"/>
          <w:szCs w:val="24"/>
        </w:rPr>
        <w:t xml:space="preserve">only </w:t>
      </w:r>
      <w:r w:rsidR="0068386E">
        <w:rPr>
          <w:rFonts w:ascii="Times New Roman" w:hAnsi="Times New Roman" w:cs="Times New Roman"/>
          <w:sz w:val="24"/>
          <w:szCs w:val="24"/>
        </w:rPr>
        <w:t>if e</w:t>
      </w:r>
      <w:r w:rsidR="007D78C2">
        <w:rPr>
          <w:rFonts w:ascii="Times New Roman" w:hAnsi="Times New Roman" w:cs="Times New Roman"/>
          <w:sz w:val="24"/>
          <w:szCs w:val="24"/>
        </w:rPr>
        <w:t xml:space="preserve">ach component </w:t>
      </w:r>
      <w:r w:rsidR="00646E29">
        <w:rPr>
          <w:rFonts w:ascii="Times New Roman" w:hAnsi="Times New Roman" w:cs="Times New Roman"/>
          <w:sz w:val="24"/>
          <w:szCs w:val="24"/>
        </w:rPr>
        <w:t xml:space="preserve">Swap </w:t>
      </w:r>
      <w:r w:rsidR="0068386E">
        <w:rPr>
          <w:rFonts w:ascii="Times New Roman" w:hAnsi="Times New Roman" w:cs="Times New Roman"/>
          <w:sz w:val="24"/>
          <w:szCs w:val="24"/>
        </w:rPr>
        <w:t>is</w:t>
      </w:r>
      <w:r w:rsidR="007D78C2">
        <w:rPr>
          <w:rFonts w:ascii="Times New Roman" w:hAnsi="Times New Roman" w:cs="Times New Roman"/>
          <w:sz w:val="24"/>
          <w:szCs w:val="24"/>
        </w:rPr>
        <w:t xml:space="preserve"> </w:t>
      </w:r>
      <w:r w:rsidR="007D78C2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7D78C2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 set forth in CFTC Regulations</w:t>
      </w:r>
      <w:r w:rsidR="007D78C2">
        <w:rPr>
          <w:rFonts w:ascii="Times New Roman" w:hAnsi="Times New Roman" w:cs="Times New Roman"/>
          <w:sz w:val="24"/>
          <w:szCs w:val="24"/>
        </w:rPr>
        <w:t>.</w:t>
      </w:r>
    </w:p>
    <w:p w:rsidR="0004415A" w:rsidRDefault="007D78C2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b/>
          <w:sz w:val="24"/>
          <w:szCs w:val="24"/>
        </w:rPr>
        <w:t>MAT/Non-MAT (Cleared).</w:t>
      </w:r>
      <w:r>
        <w:rPr>
          <w:rFonts w:ascii="Times New Roman" w:hAnsi="Times New Roman" w:cs="Times New Roman"/>
          <w:sz w:val="24"/>
          <w:szCs w:val="24"/>
        </w:rPr>
        <w:t xml:space="preserve">  At least one component of </w:t>
      </w:r>
      <w:r w:rsidR="00646E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Package Transaction is a Required Transaction</w:t>
      </w:r>
      <w:r w:rsidR="00646E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each of the other components is </w:t>
      </w:r>
      <w:r w:rsidR="00565FD2">
        <w:rPr>
          <w:rFonts w:ascii="Times New Roman" w:hAnsi="Times New Roman" w:cs="Times New Roman"/>
          <w:sz w:val="24"/>
          <w:szCs w:val="24"/>
        </w:rPr>
        <w:t xml:space="preserve">a Permitted Transaction </w:t>
      </w:r>
      <w:r w:rsidR="00646E29">
        <w:rPr>
          <w:rFonts w:ascii="Times New Roman" w:hAnsi="Times New Roman" w:cs="Times New Roman"/>
          <w:sz w:val="24"/>
          <w:szCs w:val="24"/>
        </w:rPr>
        <w:t>that is required to be cleared</w:t>
      </w:r>
      <w:r w:rsidR="00565FD2">
        <w:rPr>
          <w:rFonts w:ascii="Times New Roman" w:hAnsi="Times New Roman" w:cs="Times New Roman"/>
          <w:sz w:val="24"/>
          <w:szCs w:val="24"/>
        </w:rPr>
        <w:t>.</w:t>
      </w:r>
    </w:p>
    <w:p w:rsidR="00565FD2" w:rsidRDefault="00FE2EAD" w:rsidP="00FE2EA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E2EAD">
        <w:rPr>
          <w:rFonts w:ascii="Times New Roman" w:hAnsi="Times New Roman" w:cs="Times New Roman"/>
          <w:sz w:val="24"/>
          <w:szCs w:val="24"/>
        </w:rPr>
        <w:t>MAT/Non-MAT (Cleared)</w:t>
      </w:r>
      <w:r w:rsidR="0068386E">
        <w:rPr>
          <w:rFonts w:ascii="Times New Roman" w:hAnsi="Times New Roman" w:cs="Times New Roman"/>
          <w:sz w:val="24"/>
          <w:szCs w:val="24"/>
        </w:rPr>
        <w:t xml:space="preserve"> Package Transaction may be </w:t>
      </w:r>
      <w:proofErr w:type="gramStart"/>
      <w:r w:rsidR="001127F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68386E">
        <w:rPr>
          <w:rFonts w:ascii="Times New Roman" w:hAnsi="Times New Roman" w:cs="Times New Roman"/>
          <w:sz w:val="24"/>
          <w:szCs w:val="24"/>
        </w:rPr>
        <w:t xml:space="preserve"> as a Block Trade </w:t>
      </w:r>
      <w:r w:rsidR="00646E29">
        <w:rPr>
          <w:rFonts w:ascii="Times New Roman" w:hAnsi="Times New Roman" w:cs="Times New Roman"/>
          <w:sz w:val="24"/>
          <w:szCs w:val="24"/>
        </w:rPr>
        <w:t xml:space="preserve">only </w:t>
      </w:r>
      <w:r w:rsidR="0068386E">
        <w:rPr>
          <w:rFonts w:ascii="Times New Roman" w:hAnsi="Times New Roman" w:cs="Times New Roman"/>
          <w:sz w:val="24"/>
          <w:szCs w:val="24"/>
        </w:rPr>
        <w:t xml:space="preserve">if each Required Transaction component is </w:t>
      </w:r>
      <w:r w:rsidR="0068386E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68386E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</w:t>
      </w:r>
      <w:r w:rsidR="00364EC5">
        <w:rPr>
          <w:rFonts w:ascii="Times New Roman" w:hAnsi="Times New Roman" w:cs="Times New Roman"/>
          <w:sz w:val="24"/>
          <w:szCs w:val="24"/>
        </w:rPr>
        <w:t>(s)</w:t>
      </w:r>
      <w:r w:rsidR="0068386E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68386E">
        <w:rPr>
          <w:rFonts w:ascii="Times New Roman" w:hAnsi="Times New Roman" w:cs="Times New Roman"/>
          <w:sz w:val="24"/>
          <w:szCs w:val="24"/>
        </w:rPr>
        <w:t>.</w:t>
      </w:r>
    </w:p>
    <w:p w:rsidR="0004415A" w:rsidRDefault="001127F4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>MAT/Non-MAT (</w:t>
      </w:r>
      <w:proofErr w:type="spellStart"/>
      <w:r w:rsidRPr="001127F4">
        <w:rPr>
          <w:rFonts w:ascii="Times New Roman" w:hAnsi="Times New Roman" w:cs="Times New Roman"/>
          <w:b/>
          <w:sz w:val="24"/>
          <w:szCs w:val="24"/>
        </w:rPr>
        <w:t>Uncleared</w:t>
      </w:r>
      <w:proofErr w:type="spellEnd"/>
      <w:r w:rsidRPr="001127F4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At least one component of </w:t>
      </w:r>
      <w:r w:rsidR="00B551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Package Transaction is a Required Transaction</w:t>
      </w:r>
      <w:r w:rsidR="00646E2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at least one of the other components is a Permitted Transaction that is not</w:t>
      </w:r>
      <w:r w:rsidR="00646E29">
        <w:rPr>
          <w:rFonts w:ascii="Times New Roman" w:hAnsi="Times New Roman" w:cs="Times New Roman"/>
          <w:sz w:val="24"/>
          <w:szCs w:val="24"/>
        </w:rPr>
        <w:t xml:space="preserve"> required to be cleared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7F4" w:rsidRDefault="00FE2EAD" w:rsidP="00FE2EA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E2EAD">
        <w:rPr>
          <w:rFonts w:ascii="Times New Roman" w:hAnsi="Times New Roman" w:cs="Times New Roman"/>
          <w:sz w:val="24"/>
          <w:szCs w:val="24"/>
        </w:rPr>
        <w:t>MAT/Non-MAT (</w:t>
      </w:r>
      <w:proofErr w:type="spellStart"/>
      <w:r w:rsidRPr="00FE2EAD">
        <w:rPr>
          <w:rFonts w:ascii="Times New Roman" w:hAnsi="Times New Roman" w:cs="Times New Roman"/>
          <w:sz w:val="24"/>
          <w:szCs w:val="24"/>
        </w:rPr>
        <w:t>Uncleared</w:t>
      </w:r>
      <w:proofErr w:type="spellEnd"/>
      <w:r w:rsidRPr="00FE2EAD">
        <w:rPr>
          <w:rFonts w:ascii="Times New Roman" w:hAnsi="Times New Roman" w:cs="Times New Roman"/>
          <w:sz w:val="24"/>
          <w:szCs w:val="24"/>
        </w:rPr>
        <w:t>)</w:t>
      </w:r>
      <w:r w:rsidR="001127F4">
        <w:rPr>
          <w:rFonts w:ascii="Times New Roman" w:hAnsi="Times New Roman" w:cs="Times New Roman"/>
          <w:sz w:val="24"/>
          <w:szCs w:val="24"/>
        </w:rPr>
        <w:t xml:space="preserve"> Package Transaction may be </w:t>
      </w:r>
      <w:proofErr w:type="gramStart"/>
      <w:r w:rsidR="001127F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1127F4">
        <w:rPr>
          <w:rFonts w:ascii="Times New Roman" w:hAnsi="Times New Roman" w:cs="Times New Roman"/>
          <w:sz w:val="24"/>
          <w:szCs w:val="24"/>
        </w:rPr>
        <w:t xml:space="preserve"> as a Block Trade if each Required Transaction component is </w:t>
      </w:r>
      <w:r w:rsidR="001127F4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B55142">
        <w:rPr>
          <w:rFonts w:ascii="Times New Roman" w:hAnsi="Times New Roman" w:cs="Times New Roman"/>
          <w:sz w:val="24"/>
          <w:szCs w:val="24"/>
        </w:rPr>
        <w:t xml:space="preserve"> </w:t>
      </w:r>
      <w:r w:rsidR="001127F4" w:rsidRPr="007D78C2">
        <w:rPr>
          <w:rFonts w:ascii="Times New Roman" w:hAnsi="Times New Roman" w:cs="Times New Roman"/>
          <w:sz w:val="24"/>
          <w:szCs w:val="24"/>
        </w:rPr>
        <w:t>the applicable minimum block size for such Swap</w:t>
      </w:r>
      <w:r w:rsidR="00646E29">
        <w:rPr>
          <w:rFonts w:ascii="Times New Roman" w:hAnsi="Times New Roman" w:cs="Times New Roman"/>
          <w:sz w:val="24"/>
          <w:szCs w:val="24"/>
        </w:rPr>
        <w:t>(s)</w:t>
      </w:r>
      <w:r w:rsidR="001127F4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1127F4">
        <w:rPr>
          <w:rFonts w:ascii="Times New Roman" w:hAnsi="Times New Roman" w:cs="Times New Roman"/>
          <w:sz w:val="24"/>
          <w:szCs w:val="24"/>
        </w:rPr>
        <w:t>.</w:t>
      </w:r>
    </w:p>
    <w:p w:rsidR="009A178D" w:rsidRPr="001127F4" w:rsidRDefault="00F37617" w:rsidP="00C954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178D">
        <w:rPr>
          <w:rFonts w:ascii="Times New Roman" w:hAnsi="Times New Roman" w:cs="Times New Roman"/>
          <w:sz w:val="24"/>
          <w:szCs w:val="24"/>
        </w:rPr>
        <w:t>rior to February 1</w:t>
      </w:r>
      <w:r w:rsidR="00B20609">
        <w:rPr>
          <w:rFonts w:ascii="Times New Roman" w:hAnsi="Times New Roman" w:cs="Times New Roman"/>
          <w:sz w:val="24"/>
          <w:szCs w:val="24"/>
        </w:rPr>
        <w:t>2</w:t>
      </w:r>
      <w:r w:rsidR="009A178D">
        <w:rPr>
          <w:rFonts w:ascii="Times New Roman" w:hAnsi="Times New Roman" w:cs="Times New Roman"/>
          <w:sz w:val="24"/>
          <w:szCs w:val="24"/>
        </w:rPr>
        <w:t xml:space="preserve">, 2016, </w:t>
      </w:r>
      <w:r w:rsidR="00CE30F9">
        <w:rPr>
          <w:rFonts w:ascii="Times New Roman" w:hAnsi="Times New Roman" w:cs="Times New Roman"/>
          <w:sz w:val="24"/>
          <w:szCs w:val="24"/>
        </w:rPr>
        <w:t xml:space="preserve">each Swap component of this </w:t>
      </w:r>
      <w:r w:rsidR="00646E29">
        <w:rPr>
          <w:rFonts w:ascii="Times New Roman" w:hAnsi="Times New Roman" w:cs="Times New Roman"/>
          <w:sz w:val="24"/>
          <w:szCs w:val="24"/>
        </w:rPr>
        <w:t xml:space="preserve">type of </w:t>
      </w:r>
      <w:r w:rsidR="00CE30F9">
        <w:rPr>
          <w:rFonts w:ascii="Times New Roman" w:hAnsi="Times New Roman" w:cs="Times New Roman"/>
          <w:sz w:val="24"/>
          <w:szCs w:val="24"/>
        </w:rPr>
        <w:t>Package Transaction may alternatively be treated as a Permitted Transaction</w:t>
      </w:r>
      <w:r w:rsidR="009A1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>by any means of interstate commerce</w:t>
      </w:r>
      <w:r>
        <w:rPr>
          <w:rFonts w:ascii="Times New Roman" w:hAnsi="Times New Roman" w:cs="Times New Roman"/>
          <w:sz w:val="24"/>
          <w:szCs w:val="24"/>
        </w:rPr>
        <w:t xml:space="preserve"> permitted by the Rules.</w:t>
      </w:r>
    </w:p>
    <w:p w:rsidR="00F37617" w:rsidRDefault="00F37617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617">
        <w:rPr>
          <w:rFonts w:ascii="Times New Roman" w:hAnsi="Times New Roman" w:cs="Times New Roman"/>
          <w:b/>
          <w:sz w:val="24"/>
          <w:szCs w:val="24"/>
        </w:rPr>
        <w:t>MAT/Agency MBS.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Each Swap component of </w:t>
      </w:r>
      <w:r w:rsidR="00B551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Package Transaction is a Required Transaction</w:t>
      </w:r>
      <w:r w:rsidR="00646E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617">
        <w:rPr>
          <w:rFonts w:ascii="Times New Roman" w:hAnsi="Times New Roman" w:cs="Times New Roman"/>
          <w:sz w:val="24"/>
          <w:szCs w:val="24"/>
        </w:rPr>
        <w:t>all other components are agency mortgage-backed securities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617" w:rsidRDefault="00FE2EAD" w:rsidP="00FE2EA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E2EAD">
        <w:rPr>
          <w:rFonts w:ascii="Times New Roman" w:hAnsi="Times New Roman" w:cs="Times New Roman"/>
          <w:sz w:val="24"/>
          <w:szCs w:val="24"/>
        </w:rPr>
        <w:t>MAT/Agency MBS</w:t>
      </w:r>
      <w:r w:rsidR="00F37617">
        <w:rPr>
          <w:rFonts w:ascii="Times New Roman" w:hAnsi="Times New Roman" w:cs="Times New Roman"/>
          <w:sz w:val="24"/>
          <w:szCs w:val="24"/>
        </w:rPr>
        <w:t xml:space="preserve"> Package Transaction may be </w:t>
      </w:r>
      <w:proofErr w:type="gramStart"/>
      <w:r w:rsidR="00F37617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F37617">
        <w:rPr>
          <w:rFonts w:ascii="Times New Roman" w:hAnsi="Times New Roman" w:cs="Times New Roman"/>
          <w:sz w:val="24"/>
          <w:szCs w:val="24"/>
        </w:rPr>
        <w:t xml:space="preserve"> as a Block Trade if each Required Transaction component is </w:t>
      </w:r>
      <w:r w:rsidR="00F37617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F37617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</w:t>
      </w:r>
      <w:r w:rsidR="00364EC5">
        <w:rPr>
          <w:rFonts w:ascii="Times New Roman" w:hAnsi="Times New Roman" w:cs="Times New Roman"/>
          <w:sz w:val="24"/>
          <w:szCs w:val="24"/>
        </w:rPr>
        <w:t>(s)</w:t>
      </w:r>
      <w:r w:rsidR="00F37617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F37617">
        <w:rPr>
          <w:rFonts w:ascii="Times New Roman" w:hAnsi="Times New Roman" w:cs="Times New Roman"/>
          <w:sz w:val="24"/>
          <w:szCs w:val="24"/>
        </w:rPr>
        <w:t>.</w:t>
      </w:r>
    </w:p>
    <w:p w:rsidR="00F37617" w:rsidRDefault="00F37617" w:rsidP="00C954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</w:t>
      </w:r>
      <w:r w:rsidR="00B20609">
        <w:rPr>
          <w:rFonts w:ascii="Times New Roman" w:hAnsi="Times New Roman" w:cs="Times New Roman"/>
          <w:sz w:val="24"/>
          <w:szCs w:val="24"/>
        </w:rPr>
        <w:t>May 15,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30F9">
        <w:rPr>
          <w:rFonts w:ascii="Times New Roman" w:hAnsi="Times New Roman" w:cs="Times New Roman"/>
          <w:sz w:val="24"/>
          <w:szCs w:val="24"/>
        </w:rPr>
        <w:t xml:space="preserve">each Swap component of this </w:t>
      </w:r>
      <w:r w:rsidR="00364EC5">
        <w:rPr>
          <w:rFonts w:ascii="Times New Roman" w:hAnsi="Times New Roman" w:cs="Times New Roman"/>
          <w:sz w:val="24"/>
          <w:szCs w:val="24"/>
        </w:rPr>
        <w:t xml:space="preserve">type of </w:t>
      </w:r>
      <w:r w:rsidR="00CE30F9">
        <w:rPr>
          <w:rFonts w:ascii="Times New Roman" w:hAnsi="Times New Roman" w:cs="Times New Roman"/>
          <w:sz w:val="24"/>
          <w:szCs w:val="24"/>
        </w:rPr>
        <w:t>Package Transaction may alternatively be treated as a Permitted Transaction</w:t>
      </w:r>
      <w:r w:rsidR="005B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>by any means of interstate commerce</w:t>
      </w:r>
      <w:r>
        <w:rPr>
          <w:rFonts w:ascii="Times New Roman" w:hAnsi="Times New Roman" w:cs="Times New Roman"/>
          <w:sz w:val="24"/>
          <w:szCs w:val="24"/>
        </w:rPr>
        <w:t xml:space="preserve"> permitted by the Rules.</w:t>
      </w:r>
    </w:p>
    <w:p w:rsidR="00E87FF4" w:rsidRDefault="00E87FF4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FF4">
        <w:rPr>
          <w:rFonts w:ascii="Times New Roman" w:hAnsi="Times New Roman" w:cs="Times New Roman"/>
          <w:b/>
          <w:sz w:val="24"/>
          <w:szCs w:val="24"/>
        </w:rPr>
        <w:t>MAT/New Issuance Bond.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At least one component of </w:t>
      </w:r>
      <w:r w:rsidR="00B551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Package Transaction is a Required Transaction</w:t>
      </w:r>
      <w:r w:rsidR="00364E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F4">
        <w:rPr>
          <w:rFonts w:ascii="Times New Roman" w:hAnsi="Times New Roman" w:cs="Times New Roman"/>
          <w:sz w:val="24"/>
          <w:szCs w:val="24"/>
        </w:rPr>
        <w:t>at least one individual component is a bond issued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F4">
        <w:rPr>
          <w:rFonts w:ascii="Times New Roman" w:hAnsi="Times New Roman" w:cs="Times New Roman"/>
          <w:sz w:val="24"/>
          <w:szCs w:val="24"/>
        </w:rPr>
        <w:t>and sold in the primary market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FF4" w:rsidRDefault="00FE2EAD" w:rsidP="00FE2EA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E2EAD">
        <w:rPr>
          <w:rFonts w:ascii="Times New Roman" w:hAnsi="Times New Roman" w:cs="Times New Roman"/>
          <w:sz w:val="24"/>
          <w:szCs w:val="24"/>
        </w:rPr>
        <w:t>MAT/New Issuance Bond</w:t>
      </w:r>
      <w:r w:rsidR="00E87FF4">
        <w:rPr>
          <w:rFonts w:ascii="Times New Roman" w:hAnsi="Times New Roman" w:cs="Times New Roman"/>
          <w:sz w:val="24"/>
          <w:szCs w:val="24"/>
        </w:rPr>
        <w:t xml:space="preserve"> Package Transaction may be </w:t>
      </w:r>
      <w:proofErr w:type="gramStart"/>
      <w:r w:rsidR="00E87FF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E87FF4">
        <w:rPr>
          <w:rFonts w:ascii="Times New Roman" w:hAnsi="Times New Roman" w:cs="Times New Roman"/>
          <w:sz w:val="24"/>
          <w:szCs w:val="24"/>
        </w:rPr>
        <w:t xml:space="preserve"> as a Block Trade if each Required Transaction component is 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</w:t>
      </w:r>
      <w:r w:rsidR="00B55142">
        <w:rPr>
          <w:rFonts w:ascii="Times New Roman" w:hAnsi="Times New Roman" w:cs="Times New Roman"/>
          <w:sz w:val="24"/>
          <w:szCs w:val="24"/>
        </w:rPr>
        <w:t>(s)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E87FF4">
        <w:rPr>
          <w:rFonts w:ascii="Times New Roman" w:hAnsi="Times New Roman" w:cs="Times New Roman"/>
          <w:sz w:val="24"/>
          <w:szCs w:val="24"/>
        </w:rPr>
        <w:t>.</w:t>
      </w:r>
    </w:p>
    <w:p w:rsidR="00E87FF4" w:rsidRDefault="00E87FF4" w:rsidP="00C954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February 12, 2016, </w:t>
      </w:r>
      <w:r w:rsidR="00CE30F9">
        <w:rPr>
          <w:rFonts w:ascii="Times New Roman" w:hAnsi="Times New Roman" w:cs="Times New Roman"/>
          <w:sz w:val="24"/>
          <w:szCs w:val="24"/>
        </w:rPr>
        <w:t xml:space="preserve">each Swap component of this </w:t>
      </w:r>
      <w:r w:rsidR="00364EC5">
        <w:rPr>
          <w:rFonts w:ascii="Times New Roman" w:hAnsi="Times New Roman" w:cs="Times New Roman"/>
          <w:sz w:val="24"/>
          <w:szCs w:val="24"/>
        </w:rPr>
        <w:t xml:space="preserve">type of </w:t>
      </w:r>
      <w:r w:rsidR="00CE30F9">
        <w:rPr>
          <w:rFonts w:ascii="Times New Roman" w:hAnsi="Times New Roman" w:cs="Times New Roman"/>
          <w:sz w:val="24"/>
          <w:szCs w:val="24"/>
        </w:rPr>
        <w:t>Package Transaction may alternatively be treated as a Permitted Transaction</w:t>
      </w:r>
      <w:r w:rsidR="005B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>by any means of interstate commerce</w:t>
      </w:r>
      <w:r>
        <w:rPr>
          <w:rFonts w:ascii="Times New Roman" w:hAnsi="Times New Roman" w:cs="Times New Roman"/>
          <w:sz w:val="24"/>
          <w:szCs w:val="24"/>
        </w:rPr>
        <w:t xml:space="preserve"> permitted by the Rules.</w:t>
      </w:r>
    </w:p>
    <w:p w:rsidR="00E87FF4" w:rsidRDefault="00E87FF4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FF4">
        <w:rPr>
          <w:rFonts w:ascii="Times New Roman" w:hAnsi="Times New Roman" w:cs="Times New Roman"/>
          <w:b/>
          <w:sz w:val="24"/>
          <w:szCs w:val="24"/>
        </w:rPr>
        <w:t>MAT/</w:t>
      </w:r>
      <w:r>
        <w:rPr>
          <w:rFonts w:ascii="Times New Roman" w:hAnsi="Times New Roman" w:cs="Times New Roman"/>
          <w:b/>
          <w:sz w:val="24"/>
          <w:szCs w:val="24"/>
        </w:rPr>
        <w:t>Futures</w:t>
      </w:r>
      <w:r w:rsidRPr="00E87F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At least one component of </w:t>
      </w:r>
      <w:r w:rsidR="00B551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Package Transaction is a Required Transaction</w:t>
      </w:r>
      <w:r w:rsidR="00364E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all other components are futures contracts.</w:t>
      </w:r>
    </w:p>
    <w:p w:rsidR="00E87FF4" w:rsidRDefault="00FE2EAD" w:rsidP="00FE2EA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E2EAD">
        <w:rPr>
          <w:rFonts w:ascii="Times New Roman" w:hAnsi="Times New Roman" w:cs="Times New Roman"/>
          <w:sz w:val="24"/>
          <w:szCs w:val="24"/>
        </w:rPr>
        <w:t>MAT/Futures</w:t>
      </w:r>
      <w:r w:rsidR="00E87FF4">
        <w:rPr>
          <w:rFonts w:ascii="Times New Roman" w:hAnsi="Times New Roman" w:cs="Times New Roman"/>
          <w:sz w:val="24"/>
          <w:szCs w:val="24"/>
        </w:rPr>
        <w:t xml:space="preserve"> Package Transaction may be </w:t>
      </w:r>
      <w:proofErr w:type="gramStart"/>
      <w:r w:rsidR="00E87FF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E87FF4">
        <w:rPr>
          <w:rFonts w:ascii="Times New Roman" w:hAnsi="Times New Roman" w:cs="Times New Roman"/>
          <w:sz w:val="24"/>
          <w:szCs w:val="24"/>
        </w:rPr>
        <w:t xml:space="preserve"> as a Block Trade if each Required Transaction component is 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</w:t>
      </w:r>
      <w:r w:rsidR="00364EC5">
        <w:rPr>
          <w:rFonts w:ascii="Times New Roman" w:hAnsi="Times New Roman" w:cs="Times New Roman"/>
          <w:sz w:val="24"/>
          <w:szCs w:val="24"/>
        </w:rPr>
        <w:t>(s)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E87FF4">
        <w:rPr>
          <w:rFonts w:ascii="Times New Roman" w:hAnsi="Times New Roman" w:cs="Times New Roman"/>
          <w:sz w:val="24"/>
          <w:szCs w:val="24"/>
        </w:rPr>
        <w:t>.</w:t>
      </w:r>
    </w:p>
    <w:p w:rsidR="0004415A" w:rsidRPr="00E87FF4" w:rsidRDefault="00E87FF4" w:rsidP="00C954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F4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>November 14, 2015</w:t>
      </w:r>
      <w:r w:rsidRPr="00E87FF4">
        <w:rPr>
          <w:rFonts w:ascii="Times New Roman" w:hAnsi="Times New Roman" w:cs="Times New Roman"/>
          <w:sz w:val="24"/>
          <w:szCs w:val="24"/>
        </w:rPr>
        <w:t xml:space="preserve">, </w:t>
      </w:r>
      <w:r w:rsidR="00CE30F9">
        <w:rPr>
          <w:rFonts w:ascii="Times New Roman" w:hAnsi="Times New Roman" w:cs="Times New Roman"/>
          <w:sz w:val="24"/>
          <w:szCs w:val="24"/>
        </w:rPr>
        <w:t xml:space="preserve">each Swap component of this </w:t>
      </w:r>
      <w:r w:rsidR="00364EC5">
        <w:rPr>
          <w:rFonts w:ascii="Times New Roman" w:hAnsi="Times New Roman" w:cs="Times New Roman"/>
          <w:sz w:val="24"/>
          <w:szCs w:val="24"/>
        </w:rPr>
        <w:t xml:space="preserve">type of </w:t>
      </w:r>
      <w:r w:rsidR="00CE30F9">
        <w:rPr>
          <w:rFonts w:ascii="Times New Roman" w:hAnsi="Times New Roman" w:cs="Times New Roman"/>
          <w:sz w:val="24"/>
          <w:szCs w:val="24"/>
        </w:rPr>
        <w:t>Package Transaction may alternatively be treated as a Permitted Transaction</w:t>
      </w:r>
      <w:r w:rsidR="005B06A8">
        <w:rPr>
          <w:rFonts w:ascii="Times New Roman" w:hAnsi="Times New Roman" w:cs="Times New Roman"/>
          <w:sz w:val="24"/>
          <w:szCs w:val="24"/>
        </w:rPr>
        <w:t xml:space="preserve"> </w:t>
      </w:r>
      <w:r w:rsidRPr="00E87FF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E87FF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E87FF4">
        <w:rPr>
          <w:rFonts w:ascii="Times New Roman" w:hAnsi="Times New Roman" w:cs="Times New Roman"/>
          <w:sz w:val="24"/>
          <w:szCs w:val="24"/>
        </w:rPr>
        <w:t xml:space="preserve"> by any means of interstate commerce permitted by the Rules.</w:t>
      </w:r>
    </w:p>
    <w:p w:rsidR="006A597B" w:rsidRDefault="006A597B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97B">
        <w:rPr>
          <w:rFonts w:ascii="Times New Roman" w:hAnsi="Times New Roman" w:cs="Times New Roman"/>
          <w:b/>
          <w:sz w:val="24"/>
          <w:szCs w:val="24"/>
        </w:rPr>
        <w:t>U.S. Dollar Swap Spreads</w:t>
      </w:r>
      <w:r w:rsidRPr="00E87F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Each Swap component of </w:t>
      </w:r>
      <w:r w:rsidR="00B551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Package Transaction is a Required Transaction</w:t>
      </w:r>
      <w:r w:rsidR="00364E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97B">
        <w:rPr>
          <w:rFonts w:ascii="Times New Roman" w:hAnsi="Times New Roman" w:cs="Times New Roman"/>
          <w:sz w:val="24"/>
          <w:szCs w:val="24"/>
        </w:rPr>
        <w:t>all other components are U.S. Treasury securities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97B" w:rsidRDefault="00FE2EAD" w:rsidP="00FE2EA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2EAD">
        <w:rPr>
          <w:rFonts w:ascii="Times New Roman" w:hAnsi="Times New Roman" w:cs="Times New Roman"/>
          <w:sz w:val="24"/>
          <w:szCs w:val="24"/>
        </w:rPr>
        <w:t>U.S. Dollar Swap Spreads</w:t>
      </w:r>
      <w:r w:rsidR="006A597B">
        <w:rPr>
          <w:rFonts w:ascii="Times New Roman" w:hAnsi="Times New Roman" w:cs="Times New Roman"/>
          <w:sz w:val="24"/>
          <w:szCs w:val="24"/>
        </w:rPr>
        <w:t xml:space="preserve"> Package Transaction may be </w:t>
      </w:r>
      <w:proofErr w:type="gramStart"/>
      <w:r w:rsidR="006A597B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6A597B">
        <w:rPr>
          <w:rFonts w:ascii="Times New Roman" w:hAnsi="Times New Roman" w:cs="Times New Roman"/>
          <w:sz w:val="24"/>
          <w:szCs w:val="24"/>
        </w:rPr>
        <w:t xml:space="preserve"> as a Block Trade if each Required Transaction component is </w:t>
      </w:r>
      <w:r w:rsidR="006A597B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6A597B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</w:t>
      </w:r>
      <w:r w:rsidR="00364EC5">
        <w:rPr>
          <w:rFonts w:ascii="Times New Roman" w:hAnsi="Times New Roman" w:cs="Times New Roman"/>
          <w:sz w:val="24"/>
          <w:szCs w:val="24"/>
        </w:rPr>
        <w:t>(s)</w:t>
      </w:r>
      <w:r w:rsidR="006A597B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6A597B">
        <w:rPr>
          <w:rFonts w:ascii="Times New Roman" w:hAnsi="Times New Roman" w:cs="Times New Roman"/>
          <w:sz w:val="24"/>
          <w:szCs w:val="24"/>
        </w:rPr>
        <w:t>.</w:t>
      </w:r>
    </w:p>
    <w:p w:rsidR="00E87FF4" w:rsidRDefault="00E87FF4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FF4">
        <w:rPr>
          <w:rFonts w:ascii="Times New Roman" w:hAnsi="Times New Roman" w:cs="Times New Roman"/>
          <w:b/>
          <w:sz w:val="24"/>
          <w:szCs w:val="24"/>
        </w:rPr>
        <w:t>MAT/Non-Swap Instruments.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At least one component of </w:t>
      </w:r>
      <w:r w:rsidR="00B551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Package Transaction is a Required Transaction</w:t>
      </w:r>
      <w:r w:rsidR="00364E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at least one component is not a Swap</w:t>
      </w:r>
      <w:r w:rsidR="00697D67">
        <w:rPr>
          <w:rFonts w:ascii="Times New Roman" w:hAnsi="Times New Roman" w:cs="Times New Roman"/>
          <w:sz w:val="24"/>
          <w:szCs w:val="24"/>
        </w:rPr>
        <w:t xml:space="preserve"> or a mixed swap</w:t>
      </w:r>
      <w:r>
        <w:rPr>
          <w:rFonts w:ascii="Times New Roman" w:hAnsi="Times New Roman" w:cs="Times New Roman"/>
          <w:sz w:val="24"/>
          <w:szCs w:val="24"/>
        </w:rPr>
        <w:t>.  This category specifically excludes</w:t>
      </w:r>
      <w:r w:rsidRPr="00E87FF4">
        <w:rPr>
          <w:rFonts w:ascii="Times New Roman" w:hAnsi="Times New Roman" w:cs="Times New Roman"/>
          <w:sz w:val="24"/>
          <w:szCs w:val="24"/>
        </w:rPr>
        <w:t xml:space="preserve"> MAT/Agency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F4">
        <w:rPr>
          <w:rFonts w:ascii="Times New Roman" w:hAnsi="Times New Roman" w:cs="Times New Roman"/>
          <w:sz w:val="24"/>
          <w:szCs w:val="24"/>
        </w:rPr>
        <w:t>MBS</w:t>
      </w:r>
      <w:r w:rsidR="00364EC5">
        <w:rPr>
          <w:rFonts w:ascii="Times New Roman" w:hAnsi="Times New Roman" w:cs="Times New Roman"/>
          <w:sz w:val="24"/>
          <w:szCs w:val="24"/>
        </w:rPr>
        <w:t>,</w:t>
      </w:r>
      <w:r w:rsidRPr="00E87FF4">
        <w:rPr>
          <w:rFonts w:ascii="Times New Roman" w:hAnsi="Times New Roman" w:cs="Times New Roman"/>
          <w:sz w:val="24"/>
          <w:szCs w:val="24"/>
        </w:rPr>
        <w:t xml:space="preserve"> MAT/New Issuance Bond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F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AT/Futures</w:t>
      </w:r>
      <w:r w:rsidR="00C861C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U.S. Dollar Swap Spreads</w:t>
      </w:r>
      <w:r w:rsidR="00824E12">
        <w:rPr>
          <w:rFonts w:ascii="Times New Roman" w:hAnsi="Times New Roman" w:cs="Times New Roman"/>
          <w:sz w:val="24"/>
          <w:szCs w:val="24"/>
        </w:rPr>
        <w:t>.</w:t>
      </w:r>
    </w:p>
    <w:p w:rsidR="00E87FF4" w:rsidRDefault="00A02F89" w:rsidP="00A02F8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A02F89">
        <w:rPr>
          <w:rFonts w:ascii="Times New Roman" w:hAnsi="Times New Roman" w:cs="Times New Roman"/>
          <w:sz w:val="24"/>
          <w:szCs w:val="24"/>
        </w:rPr>
        <w:t>MAT/Non-Swap Instruments</w:t>
      </w:r>
      <w:r w:rsidR="00E87FF4">
        <w:rPr>
          <w:rFonts w:ascii="Times New Roman" w:hAnsi="Times New Roman" w:cs="Times New Roman"/>
          <w:sz w:val="24"/>
          <w:szCs w:val="24"/>
        </w:rPr>
        <w:t xml:space="preserve"> Package Transaction may be effected as a Block Trade if each Required Transaction component is 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</w:t>
      </w:r>
      <w:r w:rsidR="00364EC5">
        <w:rPr>
          <w:rFonts w:ascii="Times New Roman" w:hAnsi="Times New Roman" w:cs="Times New Roman"/>
          <w:sz w:val="24"/>
          <w:szCs w:val="24"/>
        </w:rPr>
        <w:t>(s)</w:t>
      </w:r>
      <w:r w:rsidR="00E87FF4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E87FF4">
        <w:rPr>
          <w:rFonts w:ascii="Times New Roman" w:hAnsi="Times New Roman" w:cs="Times New Roman"/>
          <w:sz w:val="24"/>
          <w:szCs w:val="24"/>
        </w:rPr>
        <w:t>.</w:t>
      </w:r>
    </w:p>
    <w:p w:rsidR="0004415A" w:rsidRPr="00E87FF4" w:rsidRDefault="00E87FF4" w:rsidP="00C9549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F4">
        <w:rPr>
          <w:rFonts w:ascii="Times New Roman" w:hAnsi="Times New Roman" w:cs="Times New Roman"/>
          <w:sz w:val="24"/>
          <w:szCs w:val="24"/>
        </w:rPr>
        <w:lastRenderedPageBreak/>
        <w:t xml:space="preserve">Prior to </w:t>
      </w:r>
      <w:r w:rsidR="006A597B">
        <w:rPr>
          <w:rFonts w:ascii="Times New Roman" w:hAnsi="Times New Roman" w:cs="Times New Roman"/>
          <w:sz w:val="24"/>
          <w:szCs w:val="24"/>
        </w:rPr>
        <w:t>February 12, 2016</w:t>
      </w:r>
      <w:r w:rsidRPr="00E87FF4">
        <w:rPr>
          <w:rFonts w:ascii="Times New Roman" w:hAnsi="Times New Roman" w:cs="Times New Roman"/>
          <w:sz w:val="24"/>
          <w:szCs w:val="24"/>
        </w:rPr>
        <w:t xml:space="preserve">, </w:t>
      </w:r>
      <w:r w:rsidR="00CE30F9">
        <w:rPr>
          <w:rFonts w:ascii="Times New Roman" w:hAnsi="Times New Roman" w:cs="Times New Roman"/>
          <w:sz w:val="24"/>
          <w:szCs w:val="24"/>
        </w:rPr>
        <w:t xml:space="preserve">each Swap component of this </w:t>
      </w:r>
      <w:r w:rsidR="00364EC5">
        <w:rPr>
          <w:rFonts w:ascii="Times New Roman" w:hAnsi="Times New Roman" w:cs="Times New Roman"/>
          <w:sz w:val="24"/>
          <w:szCs w:val="24"/>
        </w:rPr>
        <w:t xml:space="preserve">type of </w:t>
      </w:r>
      <w:r w:rsidR="00CE30F9">
        <w:rPr>
          <w:rFonts w:ascii="Times New Roman" w:hAnsi="Times New Roman" w:cs="Times New Roman"/>
          <w:sz w:val="24"/>
          <w:szCs w:val="24"/>
        </w:rPr>
        <w:t>Package Transaction may alternatively be treated as a Permitted Transaction</w:t>
      </w:r>
      <w:r w:rsidRPr="00E87F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E87FF4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E87FF4">
        <w:rPr>
          <w:rFonts w:ascii="Times New Roman" w:hAnsi="Times New Roman" w:cs="Times New Roman"/>
          <w:sz w:val="24"/>
          <w:szCs w:val="24"/>
        </w:rPr>
        <w:t xml:space="preserve"> by any means of interstate commerce permitted by the Rules.</w:t>
      </w:r>
    </w:p>
    <w:p w:rsidR="004C5918" w:rsidRDefault="004C5918" w:rsidP="00FE4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97B">
        <w:rPr>
          <w:rFonts w:ascii="Times New Roman" w:hAnsi="Times New Roman" w:cs="Times New Roman"/>
          <w:b/>
          <w:sz w:val="24"/>
          <w:szCs w:val="24"/>
        </w:rPr>
        <w:t>MAT/Non-CFTC Swap.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At least one component of </w:t>
      </w:r>
      <w:r w:rsidR="00B551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Package Transaction is a Required Transaction</w:t>
      </w:r>
      <w:r w:rsidR="00364E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at least one other component is a </w:t>
      </w:r>
      <w:r w:rsidR="00364E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mixed swap</w:t>
      </w:r>
      <w:r w:rsidR="00364E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over which the CFTC does not have exclusive jurisdiction.</w:t>
      </w:r>
    </w:p>
    <w:p w:rsidR="004C5918" w:rsidRDefault="00FE2EAD" w:rsidP="00FE2EA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A02F89">
        <w:rPr>
          <w:rFonts w:ascii="Times New Roman" w:hAnsi="Times New Roman" w:cs="Times New Roman"/>
          <w:sz w:val="24"/>
          <w:szCs w:val="24"/>
        </w:rPr>
        <w:t>MAT/Non-</w:t>
      </w:r>
      <w:r w:rsidR="00A02F89" w:rsidRPr="00A02F89">
        <w:rPr>
          <w:rFonts w:ascii="Times New Roman" w:hAnsi="Times New Roman" w:cs="Times New Roman"/>
          <w:sz w:val="24"/>
          <w:szCs w:val="24"/>
        </w:rPr>
        <w:t xml:space="preserve">CFTC </w:t>
      </w:r>
      <w:r w:rsidRPr="00A02F89">
        <w:rPr>
          <w:rFonts w:ascii="Times New Roman" w:hAnsi="Times New Roman" w:cs="Times New Roman"/>
          <w:sz w:val="24"/>
          <w:szCs w:val="24"/>
        </w:rPr>
        <w:t xml:space="preserve">Swap </w:t>
      </w:r>
      <w:r w:rsidR="004C5918" w:rsidRPr="00A02F89">
        <w:rPr>
          <w:rFonts w:ascii="Times New Roman" w:hAnsi="Times New Roman" w:cs="Times New Roman"/>
          <w:sz w:val="24"/>
          <w:szCs w:val="24"/>
        </w:rPr>
        <w:t>Package Transaction may</w:t>
      </w:r>
      <w:r w:rsidR="004C5918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="004C5918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4C5918">
        <w:rPr>
          <w:rFonts w:ascii="Times New Roman" w:hAnsi="Times New Roman" w:cs="Times New Roman"/>
          <w:sz w:val="24"/>
          <w:szCs w:val="24"/>
        </w:rPr>
        <w:t xml:space="preserve"> as a Block Trade if each Required Transaction component is </w:t>
      </w:r>
      <w:r w:rsidR="004C5918"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="004C5918"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 for such Swap</w:t>
      </w:r>
      <w:r w:rsidR="00364EC5">
        <w:rPr>
          <w:rFonts w:ascii="Times New Roman" w:hAnsi="Times New Roman" w:cs="Times New Roman"/>
          <w:sz w:val="24"/>
          <w:szCs w:val="24"/>
        </w:rPr>
        <w:t>(s)</w:t>
      </w:r>
      <w:r w:rsidR="004C5918" w:rsidRPr="007D78C2">
        <w:rPr>
          <w:rFonts w:ascii="Times New Roman" w:hAnsi="Times New Roman" w:cs="Times New Roman"/>
          <w:sz w:val="24"/>
          <w:szCs w:val="24"/>
        </w:rPr>
        <w:t xml:space="preserve"> set forth in CFTC Regulations</w:t>
      </w:r>
      <w:r w:rsidR="004C5918">
        <w:rPr>
          <w:rFonts w:ascii="Times New Roman" w:hAnsi="Times New Roman" w:cs="Times New Roman"/>
          <w:sz w:val="24"/>
          <w:szCs w:val="24"/>
        </w:rPr>
        <w:t>.</w:t>
      </w:r>
    </w:p>
    <w:p w:rsidR="004C5918" w:rsidRPr="00824E12" w:rsidRDefault="004C5918" w:rsidP="00C9549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7B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>February 12, 2016</w:t>
      </w:r>
      <w:r w:rsidRPr="006A597B">
        <w:rPr>
          <w:rFonts w:ascii="Times New Roman" w:hAnsi="Times New Roman" w:cs="Times New Roman"/>
          <w:sz w:val="24"/>
          <w:szCs w:val="24"/>
        </w:rPr>
        <w:t xml:space="preserve">, </w:t>
      </w:r>
      <w:r w:rsidR="00CE30F9">
        <w:rPr>
          <w:rFonts w:ascii="Times New Roman" w:hAnsi="Times New Roman" w:cs="Times New Roman"/>
          <w:sz w:val="24"/>
          <w:szCs w:val="24"/>
        </w:rPr>
        <w:t xml:space="preserve">each Swap component of this </w:t>
      </w:r>
      <w:r w:rsidR="00364EC5">
        <w:rPr>
          <w:rFonts w:ascii="Times New Roman" w:hAnsi="Times New Roman" w:cs="Times New Roman"/>
          <w:sz w:val="24"/>
          <w:szCs w:val="24"/>
        </w:rPr>
        <w:t xml:space="preserve">type of </w:t>
      </w:r>
      <w:r w:rsidR="00CE30F9">
        <w:rPr>
          <w:rFonts w:ascii="Times New Roman" w:hAnsi="Times New Roman" w:cs="Times New Roman"/>
          <w:sz w:val="24"/>
          <w:szCs w:val="24"/>
        </w:rPr>
        <w:t>Package Transaction may alternatively be treated as a Permitted Transaction</w:t>
      </w:r>
      <w:r w:rsidRPr="006A59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6A597B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6A597B">
        <w:rPr>
          <w:rFonts w:ascii="Times New Roman" w:hAnsi="Times New Roman" w:cs="Times New Roman"/>
          <w:sz w:val="24"/>
          <w:szCs w:val="24"/>
        </w:rPr>
        <w:t xml:space="preserve"> by any means of interstate commerce permitted by the Rules.</w:t>
      </w:r>
    </w:p>
    <w:p w:rsidR="007F0E9F" w:rsidRDefault="007F0E9F" w:rsidP="00D24374">
      <w:pPr>
        <w:spacing w:before="31" w:after="120" w:line="240" w:lineRule="auto"/>
        <w:ind w:right="-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Package Transactions with multiple Swap components, CFTC Regulations require the reporting Swap Data Repository to delay public dissemination of each Swap component that is </w:t>
      </w:r>
      <w:r w:rsidRPr="007D78C2">
        <w:rPr>
          <w:rFonts w:ascii="Times New Roman" w:hAnsi="Times New Roman" w:cs="Times New Roman"/>
          <w:sz w:val="24"/>
          <w:szCs w:val="24"/>
        </w:rPr>
        <w:t xml:space="preserve">equal to or </w:t>
      </w:r>
      <w:r w:rsidR="00364EC5">
        <w:rPr>
          <w:rFonts w:ascii="Times New Roman" w:hAnsi="Times New Roman" w:cs="Times New Roman"/>
          <w:sz w:val="24"/>
          <w:szCs w:val="24"/>
        </w:rPr>
        <w:t>greater than</w:t>
      </w:r>
      <w:r w:rsidRPr="007D78C2">
        <w:rPr>
          <w:rFonts w:ascii="Times New Roman" w:hAnsi="Times New Roman" w:cs="Times New Roman"/>
          <w:sz w:val="24"/>
          <w:szCs w:val="24"/>
        </w:rPr>
        <w:t xml:space="preserve"> the applicable minimum block size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E2A17">
        <w:rPr>
          <w:rFonts w:ascii="Times New Roman" w:hAnsi="Times New Roman" w:cs="Times New Roman"/>
          <w:sz w:val="24"/>
          <w:szCs w:val="24"/>
        </w:rPr>
        <w:t>Public dissemination</w:t>
      </w:r>
      <w:r>
        <w:rPr>
          <w:rFonts w:ascii="Times New Roman" w:hAnsi="Times New Roman" w:cs="Times New Roman"/>
          <w:sz w:val="24"/>
          <w:szCs w:val="24"/>
        </w:rPr>
        <w:t xml:space="preserve"> will not be delayed for components that are less than the applicable minimum block size.</w:t>
      </w:r>
    </w:p>
    <w:p w:rsidR="00FE42B8" w:rsidRPr="00D24374" w:rsidRDefault="00FE42B8" w:rsidP="007F0E9F">
      <w:pPr>
        <w:spacing w:before="31" w:after="240" w:line="240" w:lineRule="auto"/>
        <w:ind w:right="-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Package Transactions in which at least one component is not a Swap (including any </w:t>
      </w:r>
      <w:r w:rsidR="00364EC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mixed swaps</w:t>
      </w:r>
      <w:r w:rsidR="00364EC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onl</w:t>
      </w:r>
      <w:r w:rsidRPr="00FE42B8">
        <w:rPr>
          <w:rFonts w:ascii="Times New Roman" w:eastAsia="Times New Roman" w:hAnsi="Times New Roman" w:cs="Times New Roman"/>
          <w:bCs/>
          <w:sz w:val="24"/>
          <w:szCs w:val="24"/>
        </w:rPr>
        <w:t>y the Swap component</w:t>
      </w:r>
      <w:r w:rsidR="0041564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FE42B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156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E42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4EC5">
        <w:rPr>
          <w:rFonts w:ascii="Times New Roman" w:eastAsia="Times New Roman" w:hAnsi="Times New Roman" w:cs="Times New Roman"/>
          <w:bCs/>
          <w:sz w:val="24"/>
          <w:szCs w:val="24"/>
        </w:rPr>
        <w:t xml:space="preserve">are required to and will be deemed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</w:t>
      </w:r>
      <w:r w:rsidRPr="00FE42B8">
        <w:rPr>
          <w:rFonts w:ascii="Times New Roman" w:eastAsia="Times New Roman" w:hAnsi="Times New Roman" w:cs="Times New Roman"/>
          <w:bCs/>
          <w:sz w:val="24"/>
          <w:szCs w:val="24"/>
        </w:rPr>
        <w:t xml:space="preserve"> effected on or pursuant to the Rules</w:t>
      </w:r>
      <w:r w:rsidR="00364EC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GFI SEF</w:t>
      </w:r>
      <w:r w:rsidRPr="00FE42B8">
        <w:rPr>
          <w:rFonts w:ascii="Times New Roman" w:eastAsia="Times New Roman" w:hAnsi="Times New Roman" w:cs="Times New Roman"/>
          <w:bCs/>
          <w:sz w:val="24"/>
          <w:szCs w:val="24"/>
        </w:rPr>
        <w:t>.  GFI SEF is not r</w:t>
      </w:r>
      <w:r w:rsidR="0041564D">
        <w:rPr>
          <w:rFonts w:ascii="Times New Roman" w:eastAsia="Times New Roman" w:hAnsi="Times New Roman" w:cs="Times New Roman"/>
          <w:bCs/>
          <w:sz w:val="24"/>
          <w:szCs w:val="24"/>
        </w:rPr>
        <w:t xml:space="preserve">esponsible for the execution </w:t>
      </w:r>
      <w:r w:rsidR="00214DFA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415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2A17">
        <w:rPr>
          <w:rFonts w:ascii="Times New Roman" w:eastAsia="Times New Roman" w:hAnsi="Times New Roman" w:cs="Times New Roman"/>
          <w:bCs/>
          <w:sz w:val="24"/>
          <w:szCs w:val="24"/>
        </w:rPr>
        <w:t xml:space="preserve">any non-Swap components, including any </w:t>
      </w:r>
      <w:r w:rsidR="00364EC5">
        <w:rPr>
          <w:rFonts w:ascii="Times New Roman" w:eastAsia="Times New Roman" w:hAnsi="Times New Roman" w:cs="Times New Roman"/>
          <w:bCs/>
          <w:sz w:val="24"/>
          <w:szCs w:val="24"/>
        </w:rPr>
        <w:t xml:space="preserve">securities or </w:t>
      </w:r>
      <w:r w:rsidR="002E2A17">
        <w:rPr>
          <w:rFonts w:ascii="Times New Roman" w:eastAsia="Times New Roman" w:hAnsi="Times New Roman" w:cs="Times New Roman"/>
          <w:bCs/>
          <w:sz w:val="24"/>
          <w:szCs w:val="24"/>
        </w:rPr>
        <w:t>mixed swap components.</w:t>
      </w:r>
    </w:p>
    <w:p w:rsidR="00342DDA" w:rsidRPr="00AC1509" w:rsidRDefault="00342DDA" w:rsidP="00342DDA">
      <w:pPr>
        <w:spacing w:before="31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AC15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garding</w:t>
      </w:r>
      <w:r w:rsidRPr="00AC15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AC15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Notice</w:t>
      </w:r>
      <w:r w:rsidRPr="00AC15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Pr="00AC15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AC15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addres</w:t>
      </w:r>
      <w:r w:rsidRPr="00AC15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AC15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AC15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15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 w:rsidRPr="00AC15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AC1509">
        <w:rPr>
          <w:rFonts w:ascii="Times New Roman" w:eastAsia="Times New Roman" w:hAnsi="Times New Roman" w:cs="Times New Roman"/>
          <w:b/>
          <w:bCs/>
          <w:sz w:val="24"/>
          <w:szCs w:val="24"/>
        </w:rPr>
        <w:t>ing: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4410"/>
        <w:gridCol w:w="2880"/>
      </w:tblGrid>
      <w:tr w:rsidR="00342DDA" w:rsidRPr="00AC1509" w:rsidTr="00D807B1">
        <w:trPr>
          <w:trHeight w:hRule="exact" w:val="26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2DDA" w:rsidRPr="00AC1509" w:rsidRDefault="00342DDA" w:rsidP="00D807B1">
            <w:pPr>
              <w:spacing w:after="0" w:line="251" w:lineRule="exact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2DDA" w:rsidRPr="00AC1509" w:rsidRDefault="00342DDA" w:rsidP="00D807B1">
            <w:pPr>
              <w:spacing w:after="0" w:line="251" w:lineRule="exact"/>
              <w:ind w:left="1439" w:right="1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r w:rsidRPr="00AC150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Person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2DDA" w:rsidRPr="00AC1509" w:rsidRDefault="00342DDA" w:rsidP="00D807B1">
            <w:pPr>
              <w:spacing w:after="0" w:line="251" w:lineRule="exact"/>
              <w:ind w:left="1104" w:right="10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Phone</w:t>
            </w:r>
          </w:p>
        </w:tc>
      </w:tr>
      <w:tr w:rsidR="00342DDA" w:rsidRPr="00AC1509" w:rsidTr="00D807B1">
        <w:trPr>
          <w:trHeight w:hRule="exact" w:val="26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C15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C1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C15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liance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Bill</w:t>
            </w:r>
            <w:r w:rsidRPr="00AC15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Shields,</w:t>
            </w:r>
            <w:r w:rsidRPr="00AC15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C15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C1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C15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liance</w:t>
            </w:r>
            <w:r w:rsidRPr="00AC150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4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(212)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968-4122</w:t>
            </w:r>
          </w:p>
        </w:tc>
      </w:tr>
      <w:tr w:rsidR="00342DDA" w:rsidRPr="00AC1509" w:rsidTr="00D807B1">
        <w:trPr>
          <w:trHeight w:hRule="exact" w:val="28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5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Pr="00AC15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Glatter,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Gener</w:t>
            </w:r>
            <w:r w:rsidRPr="00AC15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C15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Counsel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(212)</w:t>
            </w:r>
            <w:r w:rsidRPr="00AC15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68-</w:t>
            </w:r>
            <w:r w:rsidRPr="00AC15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</w:t>
            </w:r>
            <w:r w:rsidRPr="00AC15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A" w:rsidRPr="00AC1509" w:rsidTr="00D807B1">
        <w:trPr>
          <w:trHeight w:hRule="exact" w:val="26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Viti</w:t>
            </w:r>
            <w:proofErr w:type="spellEnd"/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15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AC1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(212)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968-6942</w:t>
            </w:r>
          </w:p>
        </w:tc>
      </w:tr>
      <w:tr w:rsidR="00342DDA" w:rsidRPr="00AC1509" w:rsidTr="00D807B1">
        <w:trPr>
          <w:trHeight w:hRule="exact" w:val="26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 w:rsidRPr="00AC15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Desk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4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Ankush</w:t>
            </w:r>
            <w:r w:rsidRPr="00AC15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Rai,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 w:rsidRPr="00AC15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Desk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DA" w:rsidRPr="00AC1509" w:rsidRDefault="00342DDA" w:rsidP="00D807B1">
            <w:pPr>
              <w:spacing w:after="0" w:line="249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(212)</w:t>
            </w:r>
            <w:r w:rsidRPr="00AC15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15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68-</w:t>
            </w:r>
            <w:r w:rsidRPr="00AC15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</w:t>
            </w:r>
            <w:r w:rsidRPr="00AC15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C15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2DDA" w:rsidRPr="00D24374" w:rsidRDefault="00342DDA" w:rsidP="00D24374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342DDA" w:rsidRPr="00D24374" w:rsidSect="00FE743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25" w:rsidRDefault="00067E25" w:rsidP="003C19B5">
      <w:pPr>
        <w:spacing w:after="0" w:line="240" w:lineRule="auto"/>
      </w:pPr>
      <w:r>
        <w:separator/>
      </w:r>
    </w:p>
  </w:endnote>
  <w:endnote w:type="continuationSeparator" w:id="0">
    <w:p w:rsidR="00067E25" w:rsidRDefault="00067E25" w:rsidP="003C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74420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2E6" w:rsidRPr="002F32E6" w:rsidRDefault="002F32E6">
        <w:pPr>
          <w:pStyle w:val="Footer"/>
          <w:jc w:val="center"/>
          <w:rPr>
            <w:rFonts w:ascii="Times New Roman" w:hAnsi="Times New Roman" w:cs="Times New Roman"/>
          </w:rPr>
        </w:pPr>
        <w:r w:rsidRPr="002F32E6">
          <w:rPr>
            <w:rFonts w:ascii="Times New Roman" w:hAnsi="Times New Roman" w:cs="Times New Roman"/>
          </w:rPr>
          <w:fldChar w:fldCharType="begin"/>
        </w:r>
        <w:r w:rsidRPr="002F32E6">
          <w:rPr>
            <w:rFonts w:ascii="Times New Roman" w:hAnsi="Times New Roman" w:cs="Times New Roman"/>
          </w:rPr>
          <w:instrText xml:space="preserve"> PAGE   \* MERGEFORMAT </w:instrText>
        </w:r>
        <w:r w:rsidRPr="002F32E6">
          <w:rPr>
            <w:rFonts w:ascii="Times New Roman" w:hAnsi="Times New Roman" w:cs="Times New Roman"/>
          </w:rPr>
          <w:fldChar w:fldCharType="separate"/>
        </w:r>
        <w:r w:rsidR="00F51963">
          <w:rPr>
            <w:rFonts w:ascii="Times New Roman" w:hAnsi="Times New Roman" w:cs="Times New Roman"/>
            <w:noProof/>
          </w:rPr>
          <w:t>3</w:t>
        </w:r>
        <w:r w:rsidRPr="002F32E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87B45" w:rsidRPr="002F32E6" w:rsidRDefault="00687B45" w:rsidP="002F32E6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25" w:rsidRDefault="00067E25" w:rsidP="003C19B5">
      <w:pPr>
        <w:spacing w:after="0" w:line="240" w:lineRule="auto"/>
      </w:pPr>
      <w:r>
        <w:separator/>
      </w:r>
    </w:p>
  </w:footnote>
  <w:footnote w:type="continuationSeparator" w:id="0">
    <w:p w:rsidR="00067E25" w:rsidRDefault="00067E25" w:rsidP="003C19B5">
      <w:pPr>
        <w:spacing w:after="0" w:line="240" w:lineRule="auto"/>
      </w:pPr>
      <w:r>
        <w:continuationSeparator/>
      </w:r>
    </w:p>
  </w:footnote>
  <w:footnote w:id="1">
    <w:p w:rsidR="00225DA1" w:rsidRPr="006A597B" w:rsidRDefault="00225DA1" w:rsidP="00346EE5">
      <w:pPr>
        <w:pStyle w:val="FootnoteText"/>
        <w:spacing w:after="120"/>
        <w:jc w:val="both"/>
        <w:rPr>
          <w:rFonts w:ascii="Times New Roman" w:hAnsi="Times New Roman" w:cs="Times New Roman"/>
        </w:rPr>
      </w:pPr>
      <w:r w:rsidRPr="006A597B">
        <w:rPr>
          <w:rStyle w:val="FootnoteReference"/>
          <w:rFonts w:ascii="Times New Roman" w:hAnsi="Times New Roman" w:cs="Times New Roman"/>
        </w:rPr>
        <w:footnoteRef/>
      </w:r>
      <w:r w:rsidRPr="006A597B">
        <w:rPr>
          <w:rFonts w:ascii="Times New Roman" w:hAnsi="Times New Roman" w:cs="Times New Roman"/>
        </w:rPr>
        <w:t xml:space="preserve"> </w:t>
      </w:r>
      <w:r w:rsidR="00F66602">
        <w:rPr>
          <w:rFonts w:ascii="Times New Roman" w:hAnsi="Times New Roman" w:cs="Times New Roman"/>
        </w:rPr>
        <w:t xml:space="preserve">The term “Package Transaction” has the meaning given that term </w:t>
      </w:r>
      <w:r w:rsidRPr="006A597B">
        <w:rPr>
          <w:rFonts w:ascii="Times New Roman" w:hAnsi="Times New Roman" w:cs="Times New Roman"/>
        </w:rPr>
        <w:t>the GFI SEF Rulebook (the “</w:t>
      </w:r>
      <w:r w:rsidRPr="006A597B">
        <w:rPr>
          <w:rFonts w:ascii="Times New Roman" w:hAnsi="Times New Roman" w:cs="Times New Roman"/>
          <w:b/>
        </w:rPr>
        <w:t>Rules</w:t>
      </w:r>
      <w:r w:rsidR="004C5918">
        <w:rPr>
          <w:rFonts w:ascii="Times New Roman" w:hAnsi="Times New Roman" w:cs="Times New Roman"/>
        </w:rPr>
        <w:t xml:space="preserve">”).  </w:t>
      </w:r>
      <w:r w:rsidR="00F66602">
        <w:rPr>
          <w:rFonts w:ascii="Times New Roman" w:hAnsi="Times New Roman" w:cs="Times New Roman"/>
        </w:rPr>
        <w:t>C</w:t>
      </w:r>
      <w:r w:rsidRPr="006A597B">
        <w:rPr>
          <w:rFonts w:ascii="Times New Roman" w:hAnsi="Times New Roman" w:cs="Times New Roman"/>
        </w:rPr>
        <w:t>apitaliz</w:t>
      </w:r>
      <w:r w:rsidR="004C5918">
        <w:rPr>
          <w:rFonts w:ascii="Times New Roman" w:hAnsi="Times New Roman" w:cs="Times New Roman"/>
        </w:rPr>
        <w:t xml:space="preserve">ed terms </w:t>
      </w:r>
      <w:r w:rsidR="00F66602">
        <w:rPr>
          <w:rFonts w:ascii="Times New Roman" w:hAnsi="Times New Roman" w:cs="Times New Roman"/>
        </w:rPr>
        <w:t xml:space="preserve">used in this Notice without definition </w:t>
      </w:r>
      <w:r w:rsidR="004C5918">
        <w:rPr>
          <w:rFonts w:ascii="Times New Roman" w:hAnsi="Times New Roman" w:cs="Times New Roman"/>
        </w:rPr>
        <w:t>have the meaning</w:t>
      </w:r>
      <w:r w:rsidRPr="006A597B">
        <w:rPr>
          <w:rFonts w:ascii="Times New Roman" w:hAnsi="Times New Roman" w:cs="Times New Roman"/>
        </w:rPr>
        <w:t xml:space="preserve"> set forth in the Rules.</w:t>
      </w:r>
    </w:p>
  </w:footnote>
  <w:footnote w:id="2">
    <w:p w:rsidR="00CE272D" w:rsidRPr="006A597B" w:rsidRDefault="00CE272D" w:rsidP="004915A0">
      <w:pPr>
        <w:pStyle w:val="FootnoteText"/>
        <w:jc w:val="both"/>
        <w:rPr>
          <w:rFonts w:ascii="Times New Roman" w:hAnsi="Times New Roman" w:cs="Times New Roman"/>
          <w:b/>
        </w:rPr>
      </w:pPr>
      <w:r w:rsidRPr="006A597B">
        <w:rPr>
          <w:rStyle w:val="FootnoteReference"/>
          <w:rFonts w:ascii="Times New Roman" w:hAnsi="Times New Roman" w:cs="Times New Roman"/>
        </w:rPr>
        <w:footnoteRef/>
      </w:r>
      <w:r w:rsidRPr="006A597B">
        <w:rPr>
          <w:rFonts w:ascii="Times New Roman" w:hAnsi="Times New Roman" w:cs="Times New Roman"/>
        </w:rPr>
        <w:t xml:space="preserve"> </w:t>
      </w:r>
      <w:r w:rsidRPr="006A597B">
        <w:rPr>
          <w:rFonts w:ascii="Times New Roman" w:hAnsi="Times New Roman" w:cs="Times New Roman"/>
          <w:i/>
        </w:rPr>
        <w:t>See</w:t>
      </w:r>
      <w:r w:rsidRPr="006A597B">
        <w:rPr>
          <w:rFonts w:ascii="Times New Roman" w:hAnsi="Times New Roman" w:cs="Times New Roman"/>
        </w:rPr>
        <w:t xml:space="preserve"> CFTC Letter No. 14-137, which is available at on the CFTC’s website at </w:t>
      </w:r>
      <w:hyperlink r:id="rId1" w:history="1">
        <w:r w:rsidRPr="006A597B">
          <w:rPr>
            <w:rStyle w:val="Hyperlink"/>
            <w:rFonts w:ascii="Times New Roman" w:hAnsi="Times New Roman" w:cs="Times New Roman"/>
          </w:rPr>
          <w:t>http://www.cftc.gov/‌ucm/‌groups/‌public/‌@lrlettergeneral/‌documents/‌letter/‌14-137.pdf</w:t>
        </w:r>
      </w:hyperlink>
      <w:r w:rsidRPr="006A597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0E" w:rsidRDefault="007B2B0E" w:rsidP="007B2B0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EB" w:rsidRDefault="00FE7438" w:rsidP="00FE7438">
    <w:pPr>
      <w:pStyle w:val="Header"/>
      <w:jc w:val="right"/>
    </w:pPr>
    <w:r w:rsidRPr="00342DDA">
      <w:rPr>
        <w:rFonts w:ascii="Times New Roman" w:hAnsi="Times New Roman" w:cs="Times New Roman"/>
        <w:noProof/>
      </w:rPr>
      <w:drawing>
        <wp:inline distT="0" distB="0" distL="0" distR="0" wp14:anchorId="7635988F" wp14:editId="012A92D3">
          <wp:extent cx="1722755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57B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35E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2B5D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1078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7AFC"/>
    <w:multiLevelType w:val="hybridMultilevel"/>
    <w:tmpl w:val="DA9AC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968"/>
    <w:multiLevelType w:val="hybridMultilevel"/>
    <w:tmpl w:val="8BD60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40AB0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5CD0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B23BE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C4BBF"/>
    <w:multiLevelType w:val="hybridMultilevel"/>
    <w:tmpl w:val="66E277A6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2D8B"/>
    <w:multiLevelType w:val="hybridMultilevel"/>
    <w:tmpl w:val="E700A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3ED8"/>
    <w:multiLevelType w:val="hybridMultilevel"/>
    <w:tmpl w:val="55143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04740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A0C60"/>
    <w:multiLevelType w:val="hybridMultilevel"/>
    <w:tmpl w:val="71B83DD4"/>
    <w:lvl w:ilvl="0" w:tplc="580C3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A"/>
    <w:rsid w:val="0000725D"/>
    <w:rsid w:val="000115D9"/>
    <w:rsid w:val="000216AC"/>
    <w:rsid w:val="000244C5"/>
    <w:rsid w:val="0004415A"/>
    <w:rsid w:val="0004576A"/>
    <w:rsid w:val="000553B7"/>
    <w:rsid w:val="00062B21"/>
    <w:rsid w:val="00067E25"/>
    <w:rsid w:val="00085B6B"/>
    <w:rsid w:val="00090872"/>
    <w:rsid w:val="000A067E"/>
    <w:rsid w:val="000C2642"/>
    <w:rsid w:val="000D38E4"/>
    <w:rsid w:val="000F6883"/>
    <w:rsid w:val="00101C7D"/>
    <w:rsid w:val="001127F4"/>
    <w:rsid w:val="001317B8"/>
    <w:rsid w:val="00155100"/>
    <w:rsid w:val="0015515A"/>
    <w:rsid w:val="00155A4C"/>
    <w:rsid w:val="00164287"/>
    <w:rsid w:val="00167C44"/>
    <w:rsid w:val="001705A7"/>
    <w:rsid w:val="00185AE6"/>
    <w:rsid w:val="00186BA2"/>
    <w:rsid w:val="001A3E3E"/>
    <w:rsid w:val="001A4B34"/>
    <w:rsid w:val="001A56C7"/>
    <w:rsid w:val="001C162A"/>
    <w:rsid w:val="001C4FD5"/>
    <w:rsid w:val="001D0874"/>
    <w:rsid w:val="001D40B5"/>
    <w:rsid w:val="001E6E7F"/>
    <w:rsid w:val="002039CA"/>
    <w:rsid w:val="00214DFA"/>
    <w:rsid w:val="00221A51"/>
    <w:rsid w:val="00225DA1"/>
    <w:rsid w:val="002268EF"/>
    <w:rsid w:val="00226C28"/>
    <w:rsid w:val="00227887"/>
    <w:rsid w:val="0023364D"/>
    <w:rsid w:val="00233905"/>
    <w:rsid w:val="00243DD5"/>
    <w:rsid w:val="002515EF"/>
    <w:rsid w:val="00264B37"/>
    <w:rsid w:val="002673A0"/>
    <w:rsid w:val="002A1032"/>
    <w:rsid w:val="002A2E77"/>
    <w:rsid w:val="002B4B36"/>
    <w:rsid w:val="002B632E"/>
    <w:rsid w:val="002C3F9B"/>
    <w:rsid w:val="002D262E"/>
    <w:rsid w:val="002D7D02"/>
    <w:rsid w:val="002E2A17"/>
    <w:rsid w:val="002E50AD"/>
    <w:rsid w:val="002E7352"/>
    <w:rsid w:val="002F32E6"/>
    <w:rsid w:val="00312CB9"/>
    <w:rsid w:val="00331014"/>
    <w:rsid w:val="00342DDA"/>
    <w:rsid w:val="003449BE"/>
    <w:rsid w:val="00346EE5"/>
    <w:rsid w:val="00364EC5"/>
    <w:rsid w:val="0039032A"/>
    <w:rsid w:val="00390819"/>
    <w:rsid w:val="003A3A54"/>
    <w:rsid w:val="003C19B5"/>
    <w:rsid w:val="003D57B9"/>
    <w:rsid w:val="003E33D8"/>
    <w:rsid w:val="003F1028"/>
    <w:rsid w:val="0041564D"/>
    <w:rsid w:val="00415740"/>
    <w:rsid w:val="00434063"/>
    <w:rsid w:val="00452169"/>
    <w:rsid w:val="0046009B"/>
    <w:rsid w:val="004617B1"/>
    <w:rsid w:val="004678B8"/>
    <w:rsid w:val="004724EA"/>
    <w:rsid w:val="00473D59"/>
    <w:rsid w:val="004749AB"/>
    <w:rsid w:val="00481227"/>
    <w:rsid w:val="004821EC"/>
    <w:rsid w:val="004915A0"/>
    <w:rsid w:val="00492C3C"/>
    <w:rsid w:val="00493BAC"/>
    <w:rsid w:val="004C5918"/>
    <w:rsid w:val="004D1D36"/>
    <w:rsid w:val="004D4005"/>
    <w:rsid w:val="004E66D9"/>
    <w:rsid w:val="004F1B2A"/>
    <w:rsid w:val="0050079B"/>
    <w:rsid w:val="0050382A"/>
    <w:rsid w:val="00512B59"/>
    <w:rsid w:val="00517BD3"/>
    <w:rsid w:val="00521A53"/>
    <w:rsid w:val="00526049"/>
    <w:rsid w:val="005304E4"/>
    <w:rsid w:val="00533BB5"/>
    <w:rsid w:val="00547B6D"/>
    <w:rsid w:val="00550155"/>
    <w:rsid w:val="00565FD2"/>
    <w:rsid w:val="0057454A"/>
    <w:rsid w:val="00590CD9"/>
    <w:rsid w:val="0059257A"/>
    <w:rsid w:val="00593BE1"/>
    <w:rsid w:val="005B06A8"/>
    <w:rsid w:val="005B3424"/>
    <w:rsid w:val="005B7A17"/>
    <w:rsid w:val="005C7FF4"/>
    <w:rsid w:val="005E18AB"/>
    <w:rsid w:val="005E4D8A"/>
    <w:rsid w:val="00601A45"/>
    <w:rsid w:val="00646E29"/>
    <w:rsid w:val="006521F1"/>
    <w:rsid w:val="00654E65"/>
    <w:rsid w:val="0067350A"/>
    <w:rsid w:val="0067485D"/>
    <w:rsid w:val="006810F7"/>
    <w:rsid w:val="0068360A"/>
    <w:rsid w:val="0068386E"/>
    <w:rsid w:val="00684F94"/>
    <w:rsid w:val="00687B45"/>
    <w:rsid w:val="00697D67"/>
    <w:rsid w:val="006A11C2"/>
    <w:rsid w:val="006A597B"/>
    <w:rsid w:val="006B2832"/>
    <w:rsid w:val="006C0BFE"/>
    <w:rsid w:val="006D4E28"/>
    <w:rsid w:val="006E78EA"/>
    <w:rsid w:val="006F1D22"/>
    <w:rsid w:val="007112A8"/>
    <w:rsid w:val="00714D45"/>
    <w:rsid w:val="00746032"/>
    <w:rsid w:val="00746F8F"/>
    <w:rsid w:val="00760838"/>
    <w:rsid w:val="00767EAF"/>
    <w:rsid w:val="007716C3"/>
    <w:rsid w:val="00774168"/>
    <w:rsid w:val="00774486"/>
    <w:rsid w:val="00775475"/>
    <w:rsid w:val="007804AF"/>
    <w:rsid w:val="007823A0"/>
    <w:rsid w:val="00783E8A"/>
    <w:rsid w:val="007A3DD7"/>
    <w:rsid w:val="007B012C"/>
    <w:rsid w:val="007B2B0E"/>
    <w:rsid w:val="007C09C8"/>
    <w:rsid w:val="007C6E60"/>
    <w:rsid w:val="007D0DE2"/>
    <w:rsid w:val="007D78C2"/>
    <w:rsid w:val="007E0FE9"/>
    <w:rsid w:val="007F0E9F"/>
    <w:rsid w:val="007F70DB"/>
    <w:rsid w:val="00803744"/>
    <w:rsid w:val="00822AEA"/>
    <w:rsid w:val="00824E12"/>
    <w:rsid w:val="00850ACB"/>
    <w:rsid w:val="00874FE5"/>
    <w:rsid w:val="00877437"/>
    <w:rsid w:val="008774A1"/>
    <w:rsid w:val="00880AD8"/>
    <w:rsid w:val="008870D5"/>
    <w:rsid w:val="00887A12"/>
    <w:rsid w:val="008B1B35"/>
    <w:rsid w:val="008B7D56"/>
    <w:rsid w:val="008D5256"/>
    <w:rsid w:val="00904D9B"/>
    <w:rsid w:val="00905150"/>
    <w:rsid w:val="00906D40"/>
    <w:rsid w:val="00913800"/>
    <w:rsid w:val="00933B18"/>
    <w:rsid w:val="00935B62"/>
    <w:rsid w:val="00942F83"/>
    <w:rsid w:val="00943E10"/>
    <w:rsid w:val="009441DF"/>
    <w:rsid w:val="00947A3C"/>
    <w:rsid w:val="0097273B"/>
    <w:rsid w:val="009922C1"/>
    <w:rsid w:val="009956EB"/>
    <w:rsid w:val="009A178D"/>
    <w:rsid w:val="009A3D54"/>
    <w:rsid w:val="009D19A8"/>
    <w:rsid w:val="009D19DF"/>
    <w:rsid w:val="009D7F97"/>
    <w:rsid w:val="00A007C5"/>
    <w:rsid w:val="00A02F89"/>
    <w:rsid w:val="00A06931"/>
    <w:rsid w:val="00A17967"/>
    <w:rsid w:val="00A21541"/>
    <w:rsid w:val="00A461E3"/>
    <w:rsid w:val="00A6278E"/>
    <w:rsid w:val="00A71FC6"/>
    <w:rsid w:val="00A83F0C"/>
    <w:rsid w:val="00A923EE"/>
    <w:rsid w:val="00AA5613"/>
    <w:rsid w:val="00AC0B31"/>
    <w:rsid w:val="00AC1509"/>
    <w:rsid w:val="00AD0AB8"/>
    <w:rsid w:val="00AD1F16"/>
    <w:rsid w:val="00AE3646"/>
    <w:rsid w:val="00AE38E3"/>
    <w:rsid w:val="00AE61CE"/>
    <w:rsid w:val="00AF1C98"/>
    <w:rsid w:val="00AF4A14"/>
    <w:rsid w:val="00B11536"/>
    <w:rsid w:val="00B17C6E"/>
    <w:rsid w:val="00B20609"/>
    <w:rsid w:val="00B218A9"/>
    <w:rsid w:val="00B32961"/>
    <w:rsid w:val="00B329FE"/>
    <w:rsid w:val="00B3361E"/>
    <w:rsid w:val="00B33EA0"/>
    <w:rsid w:val="00B55142"/>
    <w:rsid w:val="00B9459E"/>
    <w:rsid w:val="00BA379E"/>
    <w:rsid w:val="00BE7220"/>
    <w:rsid w:val="00C15B72"/>
    <w:rsid w:val="00C170D4"/>
    <w:rsid w:val="00C17576"/>
    <w:rsid w:val="00C34BA1"/>
    <w:rsid w:val="00C41635"/>
    <w:rsid w:val="00C43A50"/>
    <w:rsid w:val="00C43F01"/>
    <w:rsid w:val="00C468CB"/>
    <w:rsid w:val="00C75A15"/>
    <w:rsid w:val="00C861C2"/>
    <w:rsid w:val="00C8623F"/>
    <w:rsid w:val="00C90ADD"/>
    <w:rsid w:val="00C9549C"/>
    <w:rsid w:val="00C966E1"/>
    <w:rsid w:val="00CB17CF"/>
    <w:rsid w:val="00CC1A63"/>
    <w:rsid w:val="00CC516E"/>
    <w:rsid w:val="00CD0064"/>
    <w:rsid w:val="00CD05C9"/>
    <w:rsid w:val="00CD5586"/>
    <w:rsid w:val="00CE272D"/>
    <w:rsid w:val="00CE30F9"/>
    <w:rsid w:val="00CE38C8"/>
    <w:rsid w:val="00CF3658"/>
    <w:rsid w:val="00CF5DCB"/>
    <w:rsid w:val="00CF68DF"/>
    <w:rsid w:val="00D007A5"/>
    <w:rsid w:val="00D015E4"/>
    <w:rsid w:val="00D024C8"/>
    <w:rsid w:val="00D050E3"/>
    <w:rsid w:val="00D07DC6"/>
    <w:rsid w:val="00D225D4"/>
    <w:rsid w:val="00D22ADB"/>
    <w:rsid w:val="00D24374"/>
    <w:rsid w:val="00D34D7A"/>
    <w:rsid w:val="00D370F9"/>
    <w:rsid w:val="00D4167B"/>
    <w:rsid w:val="00D42656"/>
    <w:rsid w:val="00D5015E"/>
    <w:rsid w:val="00D50A46"/>
    <w:rsid w:val="00D56DF2"/>
    <w:rsid w:val="00D6155B"/>
    <w:rsid w:val="00D715B4"/>
    <w:rsid w:val="00DA41E4"/>
    <w:rsid w:val="00DA6232"/>
    <w:rsid w:val="00DA7907"/>
    <w:rsid w:val="00DB455D"/>
    <w:rsid w:val="00DB7336"/>
    <w:rsid w:val="00DC53D9"/>
    <w:rsid w:val="00E029F3"/>
    <w:rsid w:val="00E17A4F"/>
    <w:rsid w:val="00E17F6D"/>
    <w:rsid w:val="00E27033"/>
    <w:rsid w:val="00E2777D"/>
    <w:rsid w:val="00E34355"/>
    <w:rsid w:val="00E34E86"/>
    <w:rsid w:val="00E44342"/>
    <w:rsid w:val="00E51724"/>
    <w:rsid w:val="00E5556E"/>
    <w:rsid w:val="00E614B8"/>
    <w:rsid w:val="00E75C5A"/>
    <w:rsid w:val="00E76F8C"/>
    <w:rsid w:val="00E87FF4"/>
    <w:rsid w:val="00E91420"/>
    <w:rsid w:val="00E95EBB"/>
    <w:rsid w:val="00E9684D"/>
    <w:rsid w:val="00EB18BC"/>
    <w:rsid w:val="00EB41E8"/>
    <w:rsid w:val="00EB6FE1"/>
    <w:rsid w:val="00EE0BFF"/>
    <w:rsid w:val="00EE7C6F"/>
    <w:rsid w:val="00F061DF"/>
    <w:rsid w:val="00F109CB"/>
    <w:rsid w:val="00F11EF3"/>
    <w:rsid w:val="00F15667"/>
    <w:rsid w:val="00F17134"/>
    <w:rsid w:val="00F17B9C"/>
    <w:rsid w:val="00F20CEC"/>
    <w:rsid w:val="00F22793"/>
    <w:rsid w:val="00F37617"/>
    <w:rsid w:val="00F428F9"/>
    <w:rsid w:val="00F42FE7"/>
    <w:rsid w:val="00F51963"/>
    <w:rsid w:val="00F66602"/>
    <w:rsid w:val="00F94699"/>
    <w:rsid w:val="00F96E76"/>
    <w:rsid w:val="00FC5D4C"/>
    <w:rsid w:val="00FC78D2"/>
    <w:rsid w:val="00FE2EAD"/>
    <w:rsid w:val="00FE42B8"/>
    <w:rsid w:val="00FE5DF3"/>
    <w:rsid w:val="00FE7438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B5"/>
  </w:style>
  <w:style w:type="paragraph" w:styleId="Footer">
    <w:name w:val="footer"/>
    <w:basedOn w:val="Normal"/>
    <w:link w:val="FooterChar"/>
    <w:uiPriority w:val="99"/>
    <w:unhideWhenUsed/>
    <w:rsid w:val="003C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5"/>
  </w:style>
  <w:style w:type="paragraph" w:customStyle="1" w:styleId="DocID">
    <w:name w:val="DocID"/>
    <w:basedOn w:val="Footer"/>
    <w:next w:val="Footer"/>
    <w:link w:val="DocIDChar"/>
    <w:rsid w:val="002F32E6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2F32E6"/>
    <w:rPr>
      <w:rFonts w:ascii="Times New Roman" w:hAnsi="Times New Roman" w:cs="Times New Roman"/>
      <w:sz w:val="1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2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2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B5"/>
  </w:style>
  <w:style w:type="paragraph" w:styleId="Footer">
    <w:name w:val="footer"/>
    <w:basedOn w:val="Normal"/>
    <w:link w:val="FooterChar"/>
    <w:uiPriority w:val="99"/>
    <w:unhideWhenUsed/>
    <w:rsid w:val="003C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5"/>
  </w:style>
  <w:style w:type="paragraph" w:customStyle="1" w:styleId="DocID">
    <w:name w:val="DocID"/>
    <w:basedOn w:val="Footer"/>
    <w:next w:val="Footer"/>
    <w:link w:val="DocIDChar"/>
    <w:rsid w:val="002F32E6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2F32E6"/>
    <w:rPr>
      <w:rFonts w:ascii="Times New Roman" w:hAnsi="Times New Roman" w:cs="Times New Roman"/>
      <w:sz w:val="1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2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2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tc.gov/ucm/groups/public/@lrlettergeneral/documents/letter/14-13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DD280659CD101A4685C499309CC99932" ma:contentTypeVersion="28" ma:contentTypeDescription="" ma:contentTypeScope="" ma:versionID="864ae74610d26f8b71167fe5c8b4d347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6eb006dc-11fc-46aa-8f87-50351c0f3aff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2015-08-05T16:47:35+00:00</Document_x0020_Date>
    <Document_x0020_No xmlns="4b47aac5-4c46-444f-8595-ce09b406fc61">18292</Document_x0020_No>
  </documentManagement>
</p:properties>
</file>

<file path=customXml/itemProps1.xml><?xml version="1.0" encoding="utf-8"?>
<ds:datastoreItem xmlns:ds="http://schemas.openxmlformats.org/officeDocument/2006/customXml" ds:itemID="{F50A4A2C-2D1F-4522-BEB1-CAC7FDA83370}"/>
</file>

<file path=customXml/itemProps2.xml><?xml version="1.0" encoding="utf-8"?>
<ds:datastoreItem xmlns:ds="http://schemas.openxmlformats.org/officeDocument/2006/customXml" ds:itemID="{204C099A-06D6-472A-AA18-18B6F95977F5}"/>
</file>

<file path=customXml/itemProps3.xml><?xml version="1.0" encoding="utf-8"?>
<ds:datastoreItem xmlns:ds="http://schemas.openxmlformats.org/officeDocument/2006/customXml" ds:itemID="{780E2DF1-F987-4F10-8B2C-59D2A4D1C53E}"/>
</file>

<file path=customXml/itemProps4.xml><?xml version="1.0" encoding="utf-8"?>
<ds:datastoreItem xmlns:ds="http://schemas.openxmlformats.org/officeDocument/2006/customXml" ds:itemID="{D416D823-414A-411B-A5DC-A7DB183E2078}"/>
</file>

<file path=customXml/itemProps5.xml><?xml version="1.0" encoding="utf-8"?>
<ds:datastoreItem xmlns:ds="http://schemas.openxmlformats.org/officeDocument/2006/customXml" ds:itemID="{087C7B1C-6FA0-4B9B-82B8-F1F48905B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GFISE Notice 15-1</dc:title>
  <dc:creator/>
  <cp:lastModifiedBy/>
  <cp:revision>1</cp:revision>
  <dcterms:created xsi:type="dcterms:W3CDTF">2015-08-04T18:10:00Z</dcterms:created>
  <dcterms:modified xsi:type="dcterms:W3CDTF">2015-08-05T16:30:00Z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103283989</vt:lpwstr>
  </property>
  <property fmtid="{D5CDD505-2E9C-101B-9397-08002B2CF9AE}" pid="3" name="ContentTypeId">
    <vt:lpwstr>0x01010045B0BEB1BCDC4B408D1662109AEB463800DD280659CD101A4685C499309CC99932</vt:lpwstr>
  </property>
  <property fmtid="{D5CDD505-2E9C-101B-9397-08002B2CF9AE}" pid="4" name="_CopySource">
    <vt:lpwstr>\Cftc.gov</vt:lpwstr>
  </property>
  <property fmtid="{D5CDD505-2E9C-101B-9397-08002B2CF9AE}" pid="5" name="Order">
    <vt:r8>1337700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