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400" w:rsidRDefault="004008C0" w:rsidP="00C67400">
      <w:pPr>
        <w:spacing w:before="120" w:after="0"/>
        <w:ind w:left="6550" w:hanging="6550"/>
        <w:rPr>
          <w:rFonts w:ascii="Times New Roman" w:eastAsia="Calibri" w:hAnsi="Times New Roman"/>
          <w:sz w:val="24"/>
          <w:szCs w:val="24"/>
        </w:rPr>
      </w:pPr>
      <w:r w:rsidRPr="00151B94">
        <w:rPr>
          <w:noProof/>
          <w:sz w:val="18"/>
          <w:szCs w:val="18"/>
        </w:rPr>
        <w:drawing>
          <wp:anchor distT="0" distB="0" distL="114300" distR="114300" simplePos="0" relativeHeight="251661312" behindDoc="0" locked="1" layoutInCell="1" allowOverlap="1" wp14:anchorId="120D19FA" wp14:editId="1BAA59E6">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337A91">
        <w:rPr>
          <w:rFonts w:ascii="Times New Roman" w:eastAsia="Calibri" w:hAnsi="Times New Roman" w:cs="Times New Roman"/>
          <w:noProof/>
          <w:sz w:val="24"/>
          <w:szCs w:val="24"/>
        </w:rPr>
        <w:t>July 18,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
    <w:p w:rsidR="00C67400" w:rsidRDefault="00C67400" w:rsidP="00C67400">
      <w:pPr>
        <w:spacing w:before="120" w:after="0"/>
        <w:ind w:left="6550" w:hanging="6550"/>
        <w:rPr>
          <w:rFonts w:ascii="Times New Roman" w:eastAsia="Calibri" w:hAnsi="Times New Roman" w:cs="Times New Roman"/>
          <w:sz w:val="24"/>
          <w:szCs w:val="24"/>
        </w:rPr>
      </w:pPr>
    </w:p>
    <w:p w:rsidR="00C67400" w:rsidRDefault="00C67400" w:rsidP="004008C0">
      <w:pPr>
        <w:pStyle w:val="NoSpacing"/>
        <w:rPr>
          <w:rFonts w:ascii="Times New Roman" w:eastAsia="Calibri" w:hAnsi="Times New Roman" w:cs="Times New Roman"/>
          <w:sz w:val="24"/>
          <w:szCs w:val="24"/>
        </w:rPr>
      </w:pPr>
    </w:p>
    <w:p w:rsidR="00C67400" w:rsidRDefault="00C67400" w:rsidP="00C67400">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Christopher J. Kirkpatrick</w:t>
      </w:r>
    </w:p>
    <w:p w:rsidR="00C67400" w:rsidRDefault="00C67400" w:rsidP="00C67400">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Office of the Secretariat</w:t>
      </w:r>
    </w:p>
    <w:p w:rsidR="00C67400" w:rsidRDefault="00C67400" w:rsidP="00C67400">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Commodity</w:t>
      </w:r>
      <w:r>
        <w:rPr>
          <w:rFonts w:ascii="Times New Roman" w:eastAsia="Calibri" w:hAnsi="Times New Roman" w:cs="Times New Roman"/>
          <w:sz w:val="24"/>
          <w:szCs w:val="24"/>
        </w:rPr>
        <w:t xml:space="preserve"> Futures Trading Commission</w:t>
      </w:r>
    </w:p>
    <w:p w:rsidR="00C67400" w:rsidRDefault="00C67400" w:rsidP="00C67400">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Three Lafayette Center</w:t>
      </w:r>
    </w:p>
    <w:p w:rsidR="00C67400" w:rsidRDefault="00C67400" w:rsidP="00C67400">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1155 21</w:t>
      </w:r>
      <w:r>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Street, NW</w:t>
      </w:r>
    </w:p>
    <w:p w:rsidR="00C67400" w:rsidRDefault="00C67400" w:rsidP="00C67400">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Washington, DC  20581</w:t>
      </w:r>
    </w:p>
    <w:p w:rsidR="004008C0" w:rsidRPr="00E1206A" w:rsidRDefault="004008C0" w:rsidP="004008C0">
      <w:pPr>
        <w:pStyle w:val="NoSpacing"/>
        <w:rPr>
          <w:rFonts w:ascii="Times New Roman" w:eastAsia="Times New Roman" w:hAnsi="Times New Roman" w:cs="Times New Roman"/>
          <w:sz w:val="24"/>
          <w:szCs w:val="24"/>
        </w:rPr>
      </w:pPr>
    </w:p>
    <w:p w:rsidR="004008C0" w:rsidRPr="002D558A" w:rsidRDefault="004008C0" w:rsidP="00BE291B">
      <w:pPr>
        <w:pStyle w:val="NoSpacing"/>
        <w:ind w:left="2880" w:hanging="2880"/>
        <w:rPr>
          <w:rFonts w:ascii="Times New Roman" w:eastAsia="Calibri" w:hAnsi="Times New Roman" w:cs="Times New Roman"/>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Pr="002D558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Rule Certification </w:t>
      </w:r>
      <w:r w:rsidR="000B1DE6">
        <w:rPr>
          <w:rFonts w:ascii="Times New Roman" w:eastAsia="Calibri" w:hAnsi="Times New Roman" w:cs="Times New Roman"/>
          <w:b/>
          <w:sz w:val="24"/>
          <w:szCs w:val="24"/>
        </w:rPr>
        <w:t xml:space="preserve">Allowing QEPs to Execute Block Trades </w:t>
      </w:r>
    </w:p>
    <w:p w:rsidR="004008C0" w:rsidRPr="00E1206A" w:rsidRDefault="004008C0" w:rsidP="004008C0">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95411C">
        <w:rPr>
          <w:rFonts w:ascii="Times New Roman" w:eastAsia="Calibri" w:hAnsi="Times New Roman" w:cs="Times New Roman"/>
          <w:b/>
          <w:sz w:val="24"/>
          <w:szCs w:val="24"/>
          <w:u w:val="single"/>
        </w:rPr>
        <w:t>SR-NFX-201</w:t>
      </w:r>
      <w:r w:rsidR="00BE291B">
        <w:rPr>
          <w:rFonts w:ascii="Times New Roman" w:eastAsia="Calibri" w:hAnsi="Times New Roman" w:cs="Times New Roman"/>
          <w:b/>
          <w:sz w:val="24"/>
          <w:szCs w:val="24"/>
          <w:u w:val="single"/>
        </w:rPr>
        <w:t>9</w:t>
      </w:r>
      <w:r w:rsidRPr="007B139D">
        <w:rPr>
          <w:rFonts w:ascii="Times New Roman" w:eastAsia="Calibri" w:hAnsi="Times New Roman" w:cs="Times New Roman"/>
          <w:b/>
          <w:sz w:val="24"/>
          <w:szCs w:val="24"/>
          <w:u w:val="single"/>
        </w:rPr>
        <w:t>-</w:t>
      </w:r>
      <w:r w:rsidR="008567E4">
        <w:rPr>
          <w:rFonts w:ascii="Times New Roman" w:eastAsia="Calibri" w:hAnsi="Times New Roman" w:cs="Times New Roman"/>
          <w:b/>
          <w:sz w:val="24"/>
          <w:szCs w:val="24"/>
          <w:u w:val="single"/>
        </w:rPr>
        <w:t>27</w:t>
      </w:r>
    </w:p>
    <w:p w:rsidR="0008423C" w:rsidRPr="00E1206A" w:rsidRDefault="0008423C" w:rsidP="0008423C">
      <w:pPr>
        <w:pStyle w:val="NoSpacing"/>
        <w:ind w:left="720" w:hanging="720"/>
        <w:rPr>
          <w:rFonts w:ascii="Times New Roman" w:hAnsi="Times New Roman" w:cs="Times New Roman"/>
          <w:b/>
          <w:sz w:val="24"/>
          <w:szCs w:val="24"/>
          <w:u w:val="single"/>
        </w:rPr>
      </w:pPr>
    </w:p>
    <w:p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Dear Mr. Kirkpatrick:</w:t>
      </w:r>
    </w:p>
    <w:p w:rsidR="0008423C" w:rsidRPr="00E1206A" w:rsidRDefault="0008423C" w:rsidP="0008423C">
      <w:pPr>
        <w:pStyle w:val="NoSpacing"/>
        <w:rPr>
          <w:rFonts w:ascii="Times New Roman" w:eastAsia="Calibri" w:hAnsi="Times New Roman" w:cs="Times New Roman"/>
          <w:sz w:val="24"/>
          <w:szCs w:val="24"/>
        </w:rPr>
      </w:pPr>
    </w:p>
    <w:p w:rsidR="0008423C" w:rsidRPr="00E1206A" w:rsidRDefault="005E3020" w:rsidP="000D7E4D">
      <w:pPr>
        <w:pStyle w:val="NoSpacing"/>
        <w:ind w:firstLine="720"/>
        <w:rPr>
          <w:rFonts w:ascii="Times New Roman" w:hAnsi="Times New Roman" w:cs="Times New Roman"/>
          <w:sz w:val="24"/>
          <w:szCs w:val="24"/>
        </w:rPr>
      </w:pPr>
      <w:r w:rsidRPr="00E1206A">
        <w:rPr>
          <w:rFonts w:ascii="Times New Roman" w:eastAsia="Calibri" w:hAnsi="Times New Roman" w:cs="Times New Roman"/>
          <w:sz w:val="24"/>
          <w:szCs w:val="24"/>
        </w:rPr>
        <w:t>Pursuant to Section 5c(c)(1) of the Commodity Exchange Act, as amended (“</w:t>
      </w:r>
      <w:r w:rsidRPr="00E1206A">
        <w:rPr>
          <w:rFonts w:ascii="Times New Roman" w:eastAsia="Calibri" w:hAnsi="Times New Roman" w:cs="Times New Roman"/>
          <w:sz w:val="24"/>
          <w:szCs w:val="24"/>
          <w:u w:val="single"/>
        </w:rPr>
        <w:t>Act</w:t>
      </w:r>
      <w:r w:rsidRPr="00E1206A">
        <w:rPr>
          <w:rFonts w:ascii="Times New Roman" w:eastAsia="Calibri" w:hAnsi="Times New Roman" w:cs="Times New Roman"/>
          <w:sz w:val="24"/>
          <w:szCs w:val="24"/>
        </w:rPr>
        <w:t xml:space="preserve">”), and Section </w:t>
      </w:r>
      <w:r w:rsidRPr="00E1206A">
        <w:rPr>
          <w:rFonts w:ascii="Times New Roman" w:hAnsi="Times New Roman" w:cs="Times New Roman"/>
          <w:sz w:val="24"/>
          <w:szCs w:val="24"/>
        </w:rPr>
        <w:t xml:space="preserve">40.6 </w:t>
      </w:r>
      <w:r w:rsidRPr="00E1206A">
        <w:rPr>
          <w:rFonts w:ascii="Times New Roman" w:eastAsia="Calibri" w:hAnsi="Times New Roman" w:cs="Times New Roman"/>
          <w:sz w:val="24"/>
          <w:szCs w:val="24"/>
        </w:rPr>
        <w:t>of the Commission’s regulations thereunder, NASDAQ Futures, Inc. (“</w:t>
      </w:r>
      <w:r w:rsidRPr="00E1206A">
        <w:rPr>
          <w:rFonts w:ascii="Times New Roman" w:eastAsia="Calibri" w:hAnsi="Times New Roman" w:cs="Times New Roman"/>
          <w:sz w:val="24"/>
          <w:szCs w:val="24"/>
          <w:u w:val="single"/>
        </w:rPr>
        <w:t>NFX</w:t>
      </w:r>
      <w:r w:rsidRPr="00E1206A">
        <w:rPr>
          <w:rFonts w:ascii="Times New Roman" w:eastAsia="Calibri" w:hAnsi="Times New Roman" w:cs="Times New Roman"/>
          <w:sz w:val="24"/>
          <w:szCs w:val="24"/>
        </w:rPr>
        <w:t>” or “</w:t>
      </w:r>
      <w:r w:rsidRPr="00E1206A">
        <w:rPr>
          <w:rFonts w:ascii="Times New Roman" w:eastAsia="Calibri" w:hAnsi="Times New Roman" w:cs="Times New Roman"/>
          <w:sz w:val="24"/>
          <w:szCs w:val="24"/>
          <w:u w:val="single"/>
        </w:rPr>
        <w:t>Exchange</w:t>
      </w:r>
      <w:r w:rsidRPr="00E1206A">
        <w:rPr>
          <w:rFonts w:ascii="Times New Roman" w:eastAsia="Calibri" w:hAnsi="Times New Roman" w:cs="Times New Roman"/>
          <w:sz w:val="24"/>
          <w:szCs w:val="24"/>
        </w:rPr>
        <w:t xml:space="preserve">”) hereby submits </w:t>
      </w:r>
      <w:r w:rsidR="00603D94">
        <w:rPr>
          <w:rFonts w:ascii="Times New Roman" w:eastAsia="Calibri" w:hAnsi="Times New Roman" w:cs="Times New Roman"/>
          <w:sz w:val="24"/>
          <w:szCs w:val="24"/>
        </w:rPr>
        <w:t>amendments to</w:t>
      </w:r>
      <w:r w:rsidR="003B767E">
        <w:rPr>
          <w:rFonts w:ascii="Times New Roman" w:eastAsia="Calibri" w:hAnsi="Times New Roman" w:cs="Times New Roman"/>
          <w:sz w:val="24"/>
          <w:szCs w:val="24"/>
        </w:rPr>
        <w:t xml:space="preserve"> NFX </w:t>
      </w:r>
      <w:r w:rsidRPr="00E1206A">
        <w:rPr>
          <w:rFonts w:ascii="Times New Roman" w:eastAsia="Calibri" w:hAnsi="Times New Roman" w:cs="Times New Roman"/>
          <w:sz w:val="24"/>
          <w:szCs w:val="24"/>
        </w:rPr>
        <w:t>rule</w:t>
      </w:r>
      <w:r w:rsidR="003B767E">
        <w:rPr>
          <w:rFonts w:ascii="Times New Roman" w:eastAsia="Calibri" w:hAnsi="Times New Roman" w:cs="Times New Roman"/>
          <w:sz w:val="24"/>
          <w:szCs w:val="24"/>
        </w:rPr>
        <w:t xml:space="preserve">s and reference guides </w:t>
      </w:r>
      <w:r w:rsidR="000E033A">
        <w:rPr>
          <w:rFonts w:ascii="Times New Roman" w:eastAsia="Calibri" w:hAnsi="Times New Roman" w:cs="Times New Roman"/>
          <w:sz w:val="24"/>
          <w:szCs w:val="24"/>
        </w:rPr>
        <w:t>(as s</w:t>
      </w:r>
      <w:bookmarkStart w:id="0" w:name="_GoBack"/>
      <w:bookmarkEnd w:id="0"/>
      <w:r w:rsidR="000E033A">
        <w:rPr>
          <w:rFonts w:ascii="Times New Roman" w:eastAsia="Calibri" w:hAnsi="Times New Roman" w:cs="Times New Roman"/>
          <w:sz w:val="24"/>
          <w:szCs w:val="24"/>
        </w:rPr>
        <w:t xml:space="preserve">et forth in Exhibits A and B) </w:t>
      </w:r>
      <w:r w:rsidR="005B5E23">
        <w:rPr>
          <w:rFonts w:ascii="Times New Roman" w:eastAsia="Calibri" w:hAnsi="Times New Roman" w:cs="Times New Roman"/>
          <w:sz w:val="24"/>
          <w:szCs w:val="24"/>
        </w:rPr>
        <w:t xml:space="preserve">expanding the market participants that may </w:t>
      </w:r>
      <w:r w:rsidR="000B1DE6">
        <w:rPr>
          <w:rFonts w:ascii="Times New Roman" w:eastAsia="Calibri" w:hAnsi="Times New Roman" w:cs="Times New Roman"/>
          <w:sz w:val="24"/>
          <w:szCs w:val="24"/>
        </w:rPr>
        <w:t xml:space="preserve">execute block trades on NFX.  </w:t>
      </w:r>
      <w:r w:rsidR="00154FD5" w:rsidRPr="00E1206A">
        <w:rPr>
          <w:rFonts w:ascii="Times New Roman" w:eastAsia="Calibri" w:hAnsi="Times New Roman" w:cs="Times New Roman"/>
          <w:sz w:val="24"/>
          <w:szCs w:val="24"/>
        </w:rPr>
        <w:t xml:space="preserve">The Exchange anticipates </w:t>
      </w:r>
      <w:r w:rsidR="000B1DE6">
        <w:rPr>
          <w:rFonts w:ascii="Times New Roman" w:eastAsia="Calibri" w:hAnsi="Times New Roman" w:cs="Times New Roman"/>
          <w:sz w:val="24"/>
          <w:szCs w:val="24"/>
        </w:rPr>
        <w:t>the amendment going into effect on July 31, 2019 for trade date August 1, 2019</w:t>
      </w:r>
      <w:r w:rsidR="00154FD5" w:rsidRPr="00E1206A">
        <w:rPr>
          <w:rFonts w:ascii="Times New Roman" w:eastAsia="Calibri" w:hAnsi="Times New Roman" w:cs="Times New Roman"/>
          <w:sz w:val="24"/>
          <w:szCs w:val="24"/>
        </w:rPr>
        <w:t xml:space="preserve">.  </w:t>
      </w:r>
    </w:p>
    <w:p w:rsidR="0008423C" w:rsidRPr="00E1206A" w:rsidRDefault="0008423C" w:rsidP="0008423C">
      <w:pPr>
        <w:pStyle w:val="NoSpacing"/>
        <w:ind w:firstLine="1310"/>
        <w:rPr>
          <w:rFonts w:ascii="Times New Roman" w:eastAsia="Calibri" w:hAnsi="Times New Roman" w:cs="Times New Roman"/>
          <w:sz w:val="24"/>
          <w:szCs w:val="24"/>
        </w:rPr>
      </w:pPr>
    </w:p>
    <w:p w:rsidR="000B1DE6" w:rsidRDefault="0008423C" w:rsidP="000B1DE6">
      <w:pPr>
        <w:pStyle w:val="Default"/>
        <w:jc w:val="center"/>
        <w:rPr>
          <w:b/>
          <w:bCs/>
          <w:color w:val="auto"/>
          <w:u w:val="single"/>
        </w:rPr>
      </w:pPr>
      <w:r w:rsidRPr="00E1206A">
        <w:rPr>
          <w:b/>
          <w:bCs/>
          <w:color w:val="auto"/>
          <w:u w:val="single"/>
        </w:rPr>
        <w:t xml:space="preserve">Exhibit </w:t>
      </w:r>
      <w:r w:rsidR="000B1DE6">
        <w:rPr>
          <w:b/>
          <w:bCs/>
          <w:color w:val="auto"/>
          <w:u w:val="single"/>
        </w:rPr>
        <w:t>A</w:t>
      </w:r>
      <w:r w:rsidRPr="00E1206A">
        <w:rPr>
          <w:b/>
          <w:bCs/>
          <w:color w:val="auto"/>
          <w:u w:val="single"/>
        </w:rPr>
        <w:t xml:space="preserve"> - Amendments to Rulebook </w:t>
      </w:r>
      <w:r w:rsidR="000B1DE6">
        <w:rPr>
          <w:b/>
          <w:bCs/>
          <w:color w:val="auto"/>
          <w:u w:val="single"/>
        </w:rPr>
        <w:t>Chapter IV, Section 11 – Block Trades.</w:t>
      </w:r>
    </w:p>
    <w:p w:rsidR="000B1DE6" w:rsidRDefault="000B1DE6" w:rsidP="0008423C">
      <w:pPr>
        <w:pStyle w:val="Default"/>
        <w:ind w:left="1310"/>
        <w:rPr>
          <w:b/>
          <w:bCs/>
          <w:color w:val="auto"/>
          <w:u w:val="single"/>
        </w:rPr>
      </w:pPr>
    </w:p>
    <w:p w:rsidR="0008423C" w:rsidRDefault="000B1DE6" w:rsidP="000B1DE6">
      <w:pPr>
        <w:pStyle w:val="NoSpacing"/>
        <w:ind w:firstLine="720"/>
        <w:rPr>
          <w:rFonts w:ascii="Times New Roman" w:hAnsi="Times New Roman" w:cs="Times New Roman"/>
          <w:sz w:val="24"/>
          <w:szCs w:val="24"/>
        </w:rPr>
      </w:pPr>
      <w:r w:rsidRPr="000B1DE6">
        <w:rPr>
          <w:rFonts w:ascii="Times New Roman" w:hAnsi="Times New Roman" w:cs="Times New Roman"/>
          <w:sz w:val="24"/>
          <w:szCs w:val="24"/>
        </w:rPr>
        <w:t xml:space="preserve">NFX is amending </w:t>
      </w:r>
      <w:r w:rsidR="009A0041">
        <w:rPr>
          <w:rFonts w:ascii="Times New Roman" w:hAnsi="Times New Roman" w:cs="Times New Roman"/>
          <w:sz w:val="24"/>
          <w:szCs w:val="24"/>
        </w:rPr>
        <w:t xml:space="preserve">its </w:t>
      </w:r>
      <w:r w:rsidR="00453970">
        <w:rPr>
          <w:rFonts w:ascii="Times New Roman" w:hAnsi="Times New Roman" w:cs="Times New Roman"/>
          <w:sz w:val="24"/>
          <w:szCs w:val="24"/>
        </w:rPr>
        <w:t xml:space="preserve">rulebook </w:t>
      </w:r>
      <w:r w:rsidR="003B767E">
        <w:rPr>
          <w:rFonts w:ascii="Times New Roman" w:hAnsi="Times New Roman" w:cs="Times New Roman"/>
          <w:sz w:val="24"/>
          <w:szCs w:val="24"/>
        </w:rPr>
        <w:t xml:space="preserve">at Chapter IV Trading System, Section 11 – Block Rules and the Off Exchange Transactions Reference Guide (Reference Guide) </w:t>
      </w:r>
      <w:r w:rsidR="00453970">
        <w:rPr>
          <w:rFonts w:ascii="Times New Roman" w:hAnsi="Times New Roman" w:cs="Times New Roman"/>
          <w:sz w:val="24"/>
          <w:szCs w:val="24"/>
        </w:rPr>
        <w:t xml:space="preserve">to allow </w:t>
      </w:r>
      <w:r w:rsidR="00E1012C">
        <w:rPr>
          <w:rFonts w:ascii="Times New Roman" w:hAnsi="Times New Roman" w:cs="Times New Roman"/>
          <w:sz w:val="24"/>
          <w:szCs w:val="24"/>
        </w:rPr>
        <w:t xml:space="preserve">certain market participants with experience in financial markets </w:t>
      </w:r>
      <w:r w:rsidR="008E4FF7">
        <w:rPr>
          <w:rFonts w:ascii="Times New Roman" w:hAnsi="Times New Roman" w:cs="Times New Roman"/>
          <w:sz w:val="24"/>
          <w:szCs w:val="24"/>
        </w:rPr>
        <w:t>and appropriate financial resources</w:t>
      </w:r>
      <w:r w:rsidR="00E1012C">
        <w:rPr>
          <w:rFonts w:ascii="Times New Roman" w:hAnsi="Times New Roman" w:cs="Times New Roman"/>
          <w:sz w:val="24"/>
          <w:szCs w:val="24"/>
        </w:rPr>
        <w:t xml:space="preserve"> </w:t>
      </w:r>
      <w:r w:rsidR="00453970">
        <w:rPr>
          <w:rFonts w:ascii="Times New Roman" w:hAnsi="Times New Roman" w:cs="Times New Roman"/>
          <w:sz w:val="24"/>
          <w:szCs w:val="24"/>
        </w:rPr>
        <w:t xml:space="preserve">to execute block trades.  </w:t>
      </w:r>
      <w:r w:rsidR="009A0041">
        <w:rPr>
          <w:rFonts w:ascii="Times New Roman" w:hAnsi="Times New Roman" w:cs="Times New Roman"/>
          <w:sz w:val="24"/>
          <w:szCs w:val="24"/>
        </w:rPr>
        <w:t xml:space="preserve">This </w:t>
      </w:r>
      <w:r w:rsidR="00694F95">
        <w:rPr>
          <w:rFonts w:ascii="Times New Roman" w:hAnsi="Times New Roman" w:cs="Times New Roman"/>
          <w:sz w:val="24"/>
          <w:szCs w:val="24"/>
        </w:rPr>
        <w:t xml:space="preserve">amendment </w:t>
      </w:r>
      <w:r w:rsidR="009A0041">
        <w:rPr>
          <w:rFonts w:ascii="Times New Roman" w:hAnsi="Times New Roman" w:cs="Times New Roman"/>
          <w:sz w:val="24"/>
          <w:szCs w:val="24"/>
        </w:rPr>
        <w:t xml:space="preserve">will expand the </w:t>
      </w:r>
      <w:r w:rsidR="00E1012C">
        <w:rPr>
          <w:rFonts w:ascii="Times New Roman" w:hAnsi="Times New Roman" w:cs="Times New Roman"/>
          <w:sz w:val="24"/>
          <w:szCs w:val="24"/>
        </w:rPr>
        <w:t xml:space="preserve">category </w:t>
      </w:r>
      <w:r w:rsidR="00334277">
        <w:rPr>
          <w:rFonts w:ascii="Times New Roman" w:hAnsi="Times New Roman" w:cs="Times New Roman"/>
          <w:sz w:val="24"/>
          <w:szCs w:val="24"/>
        </w:rPr>
        <w:t xml:space="preserve">of </w:t>
      </w:r>
      <w:r w:rsidR="009A0041">
        <w:rPr>
          <w:rFonts w:ascii="Times New Roman" w:hAnsi="Times New Roman" w:cs="Times New Roman"/>
          <w:sz w:val="24"/>
          <w:szCs w:val="24"/>
        </w:rPr>
        <w:t xml:space="preserve">market participants that </w:t>
      </w:r>
      <w:r w:rsidR="00334277">
        <w:rPr>
          <w:rFonts w:ascii="Times New Roman" w:hAnsi="Times New Roman" w:cs="Times New Roman"/>
          <w:sz w:val="24"/>
          <w:szCs w:val="24"/>
        </w:rPr>
        <w:t>may trade</w:t>
      </w:r>
      <w:r w:rsidR="009A0041">
        <w:rPr>
          <w:rFonts w:ascii="Times New Roman" w:hAnsi="Times New Roman" w:cs="Times New Roman"/>
          <w:sz w:val="24"/>
          <w:szCs w:val="24"/>
        </w:rPr>
        <w:t xml:space="preserve"> outside the central limit order book (CLOB).  </w:t>
      </w:r>
      <w:r w:rsidR="00B85AC4">
        <w:rPr>
          <w:rFonts w:ascii="Times New Roman" w:eastAsia="Calibri" w:hAnsi="Times New Roman" w:cs="Times New Roman"/>
          <w:sz w:val="24"/>
          <w:szCs w:val="24"/>
        </w:rPr>
        <w:t>Presently</w:t>
      </w:r>
      <w:r w:rsidR="0088488E">
        <w:rPr>
          <w:rFonts w:ascii="Times New Roman" w:eastAsia="Calibri" w:hAnsi="Times New Roman" w:cs="Times New Roman"/>
          <w:sz w:val="24"/>
          <w:szCs w:val="24"/>
        </w:rPr>
        <w:t xml:space="preserve"> only Eligible Contract Participants (ECPs)</w:t>
      </w:r>
      <w:r w:rsidR="002E5EAA">
        <w:rPr>
          <w:rFonts w:ascii="Times New Roman" w:eastAsia="Calibri" w:hAnsi="Times New Roman" w:cs="Times New Roman"/>
          <w:sz w:val="24"/>
          <w:szCs w:val="24"/>
        </w:rPr>
        <w:t>,</w:t>
      </w:r>
      <w:r w:rsidR="0088488E">
        <w:rPr>
          <w:rFonts w:ascii="Times New Roman" w:eastAsia="Calibri" w:hAnsi="Times New Roman" w:cs="Times New Roman"/>
          <w:sz w:val="24"/>
          <w:szCs w:val="24"/>
        </w:rPr>
        <w:t xml:space="preserve"> as defined in §1a(18) of the Commodity Exchange Act</w:t>
      </w:r>
      <w:r w:rsidR="00334277">
        <w:rPr>
          <w:rFonts w:ascii="Times New Roman" w:eastAsia="Calibri" w:hAnsi="Times New Roman" w:cs="Times New Roman"/>
          <w:sz w:val="24"/>
          <w:szCs w:val="24"/>
        </w:rPr>
        <w:t>,</w:t>
      </w:r>
      <w:r w:rsidR="0088488E">
        <w:rPr>
          <w:rFonts w:ascii="Times New Roman" w:eastAsia="Calibri" w:hAnsi="Times New Roman" w:cs="Times New Roman"/>
          <w:sz w:val="24"/>
          <w:szCs w:val="24"/>
        </w:rPr>
        <w:t xml:space="preserve"> may execute </w:t>
      </w:r>
      <w:r w:rsidR="00B156EB">
        <w:rPr>
          <w:rFonts w:ascii="Times New Roman" w:eastAsia="Calibri" w:hAnsi="Times New Roman" w:cs="Times New Roman"/>
          <w:sz w:val="24"/>
          <w:szCs w:val="24"/>
        </w:rPr>
        <w:t>b</w:t>
      </w:r>
      <w:r w:rsidR="0088488E">
        <w:rPr>
          <w:rFonts w:ascii="Times New Roman" w:eastAsia="Calibri" w:hAnsi="Times New Roman" w:cs="Times New Roman"/>
          <w:sz w:val="24"/>
          <w:szCs w:val="24"/>
        </w:rPr>
        <w:t>lock</w:t>
      </w:r>
      <w:r w:rsidR="005B5E23">
        <w:rPr>
          <w:rFonts w:ascii="Times New Roman" w:eastAsia="Calibri" w:hAnsi="Times New Roman" w:cs="Times New Roman"/>
          <w:sz w:val="24"/>
          <w:szCs w:val="24"/>
        </w:rPr>
        <w:t xml:space="preserve"> trade</w:t>
      </w:r>
      <w:r w:rsidR="0088488E">
        <w:rPr>
          <w:rFonts w:ascii="Times New Roman" w:eastAsia="Calibri" w:hAnsi="Times New Roman" w:cs="Times New Roman"/>
          <w:sz w:val="24"/>
          <w:szCs w:val="24"/>
        </w:rPr>
        <w:t>s.</w:t>
      </w:r>
      <w:r w:rsidR="00694F95">
        <w:rPr>
          <w:rStyle w:val="FootnoteReference"/>
          <w:rFonts w:ascii="Times New Roman" w:hAnsi="Times New Roman" w:cs="Times New Roman"/>
          <w:sz w:val="24"/>
          <w:szCs w:val="24"/>
        </w:rPr>
        <w:footnoteReference w:id="1"/>
      </w:r>
      <w:r w:rsidR="0088488E">
        <w:rPr>
          <w:rFonts w:ascii="Times New Roman" w:eastAsia="Calibri" w:hAnsi="Times New Roman" w:cs="Times New Roman"/>
          <w:sz w:val="24"/>
          <w:szCs w:val="24"/>
        </w:rPr>
        <w:t xml:space="preserve">  Th</w:t>
      </w:r>
      <w:r w:rsidR="00276519">
        <w:rPr>
          <w:rFonts w:ascii="Times New Roman" w:eastAsia="Calibri" w:hAnsi="Times New Roman" w:cs="Times New Roman"/>
          <w:sz w:val="24"/>
          <w:szCs w:val="24"/>
        </w:rPr>
        <w:t xml:space="preserve">e Exchange believes that </w:t>
      </w:r>
      <w:r w:rsidR="008E4FF7">
        <w:rPr>
          <w:rFonts w:ascii="Times New Roman" w:eastAsia="Calibri" w:hAnsi="Times New Roman" w:cs="Times New Roman"/>
          <w:sz w:val="24"/>
          <w:szCs w:val="24"/>
        </w:rPr>
        <w:t>limiting block transactions to ECP</w:t>
      </w:r>
      <w:r w:rsidR="00D356C3">
        <w:rPr>
          <w:rFonts w:ascii="Times New Roman" w:eastAsia="Calibri" w:hAnsi="Times New Roman" w:cs="Times New Roman"/>
          <w:sz w:val="24"/>
          <w:szCs w:val="24"/>
        </w:rPr>
        <w:t>s</w:t>
      </w:r>
      <w:r w:rsidR="008E4FF7">
        <w:rPr>
          <w:rFonts w:ascii="Times New Roman" w:eastAsia="Calibri" w:hAnsi="Times New Roman" w:cs="Times New Roman"/>
          <w:sz w:val="24"/>
          <w:szCs w:val="24"/>
        </w:rPr>
        <w:t xml:space="preserve"> is unnecessary an</w:t>
      </w:r>
      <w:r w:rsidR="008E4FF7" w:rsidRPr="00276519">
        <w:rPr>
          <w:rFonts w:ascii="Times New Roman" w:eastAsia="Calibri" w:hAnsi="Times New Roman" w:cs="Times New Roman"/>
          <w:sz w:val="24"/>
          <w:szCs w:val="24"/>
        </w:rPr>
        <w:t xml:space="preserve">d unduly </w:t>
      </w:r>
      <w:r w:rsidR="00D356C3" w:rsidRPr="00276519">
        <w:rPr>
          <w:rFonts w:ascii="Times New Roman" w:eastAsia="Calibri" w:hAnsi="Times New Roman" w:cs="Times New Roman"/>
          <w:sz w:val="24"/>
          <w:szCs w:val="24"/>
        </w:rPr>
        <w:t>restrictive</w:t>
      </w:r>
      <w:r w:rsidR="008E4FF7" w:rsidRPr="00276519">
        <w:rPr>
          <w:rFonts w:ascii="Times New Roman" w:eastAsia="Calibri" w:hAnsi="Times New Roman" w:cs="Times New Roman"/>
          <w:sz w:val="24"/>
          <w:szCs w:val="24"/>
        </w:rPr>
        <w:t>.  By allowing certain additional</w:t>
      </w:r>
      <w:r w:rsidR="00603D94">
        <w:rPr>
          <w:rFonts w:ascii="Times New Roman" w:eastAsia="Calibri" w:hAnsi="Times New Roman" w:cs="Times New Roman"/>
          <w:sz w:val="24"/>
          <w:szCs w:val="24"/>
        </w:rPr>
        <w:t>,</w:t>
      </w:r>
      <w:r w:rsidR="008E4FF7" w:rsidRPr="00276519">
        <w:rPr>
          <w:rFonts w:ascii="Times New Roman" w:eastAsia="Calibri" w:hAnsi="Times New Roman" w:cs="Times New Roman"/>
          <w:sz w:val="24"/>
          <w:szCs w:val="24"/>
        </w:rPr>
        <w:t xml:space="preserve"> qualified market participants to execute block trades</w:t>
      </w:r>
      <w:r w:rsidR="00276519">
        <w:rPr>
          <w:rFonts w:ascii="Times New Roman" w:eastAsia="Calibri" w:hAnsi="Times New Roman" w:cs="Times New Roman"/>
          <w:sz w:val="24"/>
          <w:szCs w:val="24"/>
        </w:rPr>
        <w:t>,</w:t>
      </w:r>
      <w:r w:rsidR="008E4FF7" w:rsidRPr="00276519">
        <w:rPr>
          <w:rFonts w:ascii="Times New Roman" w:eastAsia="Calibri" w:hAnsi="Times New Roman" w:cs="Times New Roman"/>
          <w:sz w:val="24"/>
          <w:szCs w:val="24"/>
        </w:rPr>
        <w:t xml:space="preserve"> the Exchange </w:t>
      </w:r>
      <w:r w:rsidR="00276519">
        <w:rPr>
          <w:rFonts w:ascii="Times New Roman" w:eastAsia="Calibri" w:hAnsi="Times New Roman" w:cs="Times New Roman"/>
          <w:sz w:val="24"/>
          <w:szCs w:val="24"/>
        </w:rPr>
        <w:t xml:space="preserve">is </w:t>
      </w:r>
      <w:r w:rsidR="00B435C2">
        <w:rPr>
          <w:rFonts w:ascii="Times New Roman" w:eastAsia="Calibri" w:hAnsi="Times New Roman" w:cs="Times New Roman"/>
          <w:sz w:val="24"/>
          <w:szCs w:val="24"/>
        </w:rPr>
        <w:t>recognizing</w:t>
      </w:r>
      <w:r w:rsidR="00276519">
        <w:rPr>
          <w:rFonts w:ascii="Times New Roman" w:eastAsia="Calibri" w:hAnsi="Times New Roman" w:cs="Times New Roman"/>
          <w:sz w:val="24"/>
          <w:szCs w:val="24"/>
        </w:rPr>
        <w:t xml:space="preserve"> the significant disparity </w:t>
      </w:r>
      <w:r w:rsidR="00B85AC4">
        <w:rPr>
          <w:rFonts w:ascii="Times New Roman" w:eastAsia="Calibri" w:hAnsi="Times New Roman" w:cs="Times New Roman"/>
          <w:sz w:val="24"/>
          <w:szCs w:val="24"/>
        </w:rPr>
        <w:t xml:space="preserve">in market sophistication and financial resources </w:t>
      </w:r>
      <w:r w:rsidR="00276519">
        <w:rPr>
          <w:rFonts w:ascii="Times New Roman" w:eastAsia="Calibri" w:hAnsi="Times New Roman" w:cs="Times New Roman"/>
          <w:sz w:val="24"/>
          <w:szCs w:val="24"/>
        </w:rPr>
        <w:t xml:space="preserve">between retail customers and ECPs.  </w:t>
      </w:r>
      <w:r w:rsidR="00B435C2">
        <w:rPr>
          <w:rFonts w:ascii="Times New Roman" w:eastAsia="Calibri" w:hAnsi="Times New Roman" w:cs="Times New Roman"/>
          <w:sz w:val="24"/>
          <w:szCs w:val="24"/>
        </w:rPr>
        <w:t>This ru</w:t>
      </w:r>
      <w:r w:rsidR="00B85AC4">
        <w:rPr>
          <w:rFonts w:ascii="Times New Roman" w:eastAsia="Calibri" w:hAnsi="Times New Roman" w:cs="Times New Roman"/>
          <w:sz w:val="24"/>
          <w:szCs w:val="24"/>
        </w:rPr>
        <w:t>l</w:t>
      </w:r>
      <w:r w:rsidR="00B435C2">
        <w:rPr>
          <w:rFonts w:ascii="Times New Roman" w:eastAsia="Calibri" w:hAnsi="Times New Roman" w:cs="Times New Roman"/>
          <w:sz w:val="24"/>
          <w:szCs w:val="24"/>
        </w:rPr>
        <w:t xml:space="preserve">e amendment allows </w:t>
      </w:r>
      <w:r w:rsidR="00B85AC4">
        <w:rPr>
          <w:rFonts w:ascii="Times New Roman" w:eastAsia="Calibri" w:hAnsi="Times New Roman" w:cs="Times New Roman"/>
          <w:sz w:val="24"/>
          <w:szCs w:val="24"/>
        </w:rPr>
        <w:t xml:space="preserve">sophisticated </w:t>
      </w:r>
      <w:r w:rsidR="00B435C2">
        <w:rPr>
          <w:rFonts w:ascii="Times New Roman" w:eastAsia="Calibri" w:hAnsi="Times New Roman" w:cs="Times New Roman"/>
          <w:sz w:val="24"/>
          <w:szCs w:val="24"/>
        </w:rPr>
        <w:t xml:space="preserve">market participants </w:t>
      </w:r>
      <w:r w:rsidR="00B85AC4">
        <w:rPr>
          <w:rFonts w:ascii="Times New Roman" w:eastAsia="Calibri" w:hAnsi="Times New Roman" w:cs="Times New Roman"/>
          <w:sz w:val="24"/>
          <w:szCs w:val="24"/>
        </w:rPr>
        <w:t xml:space="preserve">with greater financial </w:t>
      </w:r>
      <w:r w:rsidR="00B435C2">
        <w:rPr>
          <w:rFonts w:ascii="Times New Roman" w:eastAsia="Calibri" w:hAnsi="Times New Roman" w:cs="Times New Roman"/>
          <w:sz w:val="24"/>
          <w:szCs w:val="24"/>
        </w:rPr>
        <w:t>resources than retail customers</w:t>
      </w:r>
      <w:r w:rsidR="00B85AC4">
        <w:rPr>
          <w:rFonts w:ascii="Times New Roman" w:eastAsia="Calibri" w:hAnsi="Times New Roman" w:cs="Times New Roman"/>
          <w:sz w:val="24"/>
          <w:szCs w:val="24"/>
        </w:rPr>
        <w:t xml:space="preserve"> </w:t>
      </w:r>
      <w:r w:rsidR="00B435C2">
        <w:rPr>
          <w:rFonts w:ascii="Times New Roman" w:eastAsia="Calibri" w:hAnsi="Times New Roman" w:cs="Times New Roman"/>
          <w:sz w:val="24"/>
          <w:szCs w:val="24"/>
        </w:rPr>
        <w:t xml:space="preserve">to enter into block transactions </w:t>
      </w:r>
      <w:r w:rsidR="005B5E23">
        <w:rPr>
          <w:rFonts w:ascii="Times New Roman" w:eastAsia="Calibri" w:hAnsi="Times New Roman" w:cs="Times New Roman"/>
          <w:sz w:val="24"/>
          <w:szCs w:val="24"/>
        </w:rPr>
        <w:t xml:space="preserve">in order to effectuate their hedging and speculation </w:t>
      </w:r>
      <w:r w:rsidR="00B435C2">
        <w:rPr>
          <w:rFonts w:ascii="Times New Roman" w:eastAsia="Calibri" w:hAnsi="Times New Roman" w:cs="Times New Roman"/>
          <w:sz w:val="24"/>
          <w:szCs w:val="24"/>
        </w:rPr>
        <w:t xml:space="preserve">strategies.  </w:t>
      </w:r>
      <w:r w:rsidR="002E5EAA">
        <w:rPr>
          <w:rFonts w:ascii="Times New Roman" w:eastAsia="Calibri" w:hAnsi="Times New Roman" w:cs="Times New Roman"/>
          <w:sz w:val="24"/>
          <w:szCs w:val="24"/>
        </w:rPr>
        <w:t xml:space="preserve">The Exchange notes that the ECP </w:t>
      </w:r>
      <w:r w:rsidR="002E5EAA">
        <w:rPr>
          <w:rFonts w:ascii="Times New Roman" w:eastAsia="Calibri" w:hAnsi="Times New Roman" w:cs="Times New Roman"/>
          <w:sz w:val="24"/>
          <w:szCs w:val="24"/>
        </w:rPr>
        <w:lastRenderedPageBreak/>
        <w:t xml:space="preserve">standard is not mandated by the CFTC.  Instead it was adopted by DCMs when block trades were first introduced to the futures market.  </w:t>
      </w:r>
      <w:r w:rsidR="0088488E">
        <w:rPr>
          <w:rFonts w:ascii="Times New Roman" w:eastAsia="Calibri" w:hAnsi="Times New Roman" w:cs="Times New Roman"/>
          <w:sz w:val="24"/>
          <w:szCs w:val="24"/>
        </w:rPr>
        <w:t xml:space="preserve">The Exchange is making the amendment in response to marketplace feedback.  </w:t>
      </w:r>
    </w:p>
    <w:p w:rsidR="009A0041" w:rsidRDefault="009A0041" w:rsidP="009A0041">
      <w:pPr>
        <w:pStyle w:val="NoSpacing"/>
        <w:rPr>
          <w:rFonts w:ascii="Times New Roman" w:hAnsi="Times New Roman" w:cs="Times New Roman"/>
          <w:sz w:val="24"/>
          <w:szCs w:val="24"/>
        </w:rPr>
      </w:pPr>
    </w:p>
    <w:p w:rsidR="000E033A" w:rsidRDefault="000E033A" w:rsidP="009A0041">
      <w:pPr>
        <w:pStyle w:val="NoSpacing"/>
        <w:rPr>
          <w:rFonts w:ascii="Times New Roman" w:hAnsi="Times New Roman" w:cs="Times New Roman"/>
          <w:sz w:val="24"/>
          <w:szCs w:val="24"/>
        </w:rPr>
      </w:pPr>
    </w:p>
    <w:p w:rsidR="000E033A" w:rsidRDefault="000E033A" w:rsidP="009A0041">
      <w:pPr>
        <w:pStyle w:val="NoSpacing"/>
        <w:rPr>
          <w:rFonts w:ascii="Times New Roman" w:hAnsi="Times New Roman" w:cs="Times New Roman"/>
          <w:sz w:val="24"/>
          <w:szCs w:val="24"/>
        </w:rPr>
      </w:pPr>
    </w:p>
    <w:p w:rsidR="000E033A" w:rsidRDefault="000E033A" w:rsidP="009A0041">
      <w:pPr>
        <w:pStyle w:val="NoSpacing"/>
        <w:rPr>
          <w:rFonts w:ascii="Times New Roman" w:hAnsi="Times New Roman" w:cs="Times New Roman"/>
          <w:sz w:val="24"/>
          <w:szCs w:val="24"/>
        </w:rPr>
      </w:pPr>
    </w:p>
    <w:p w:rsidR="009A0041" w:rsidRDefault="00694F95" w:rsidP="009A0041">
      <w:pPr>
        <w:pStyle w:val="NoSpacing"/>
        <w:jc w:val="center"/>
        <w:rPr>
          <w:rFonts w:ascii="Times New Roman" w:hAnsi="Times New Roman" w:cs="Times New Roman"/>
          <w:b/>
          <w:sz w:val="24"/>
          <w:szCs w:val="24"/>
        </w:rPr>
      </w:pPr>
      <w:r>
        <w:rPr>
          <w:rFonts w:ascii="Times New Roman" w:hAnsi="Times New Roman" w:cs="Times New Roman"/>
          <w:b/>
          <w:sz w:val="24"/>
          <w:szCs w:val="24"/>
        </w:rPr>
        <w:t>Qualified Eligible Person</w:t>
      </w:r>
      <w:r w:rsidR="009A0041" w:rsidRPr="009A0041">
        <w:rPr>
          <w:rFonts w:ascii="Times New Roman" w:hAnsi="Times New Roman" w:cs="Times New Roman"/>
          <w:b/>
          <w:sz w:val="24"/>
          <w:szCs w:val="24"/>
        </w:rPr>
        <w:t xml:space="preserve"> </w:t>
      </w:r>
    </w:p>
    <w:p w:rsidR="009A0041" w:rsidRDefault="009A0041" w:rsidP="009A0041">
      <w:pPr>
        <w:pStyle w:val="NoSpacing"/>
        <w:rPr>
          <w:rFonts w:ascii="Times New Roman" w:hAnsi="Times New Roman" w:cs="Times New Roman"/>
          <w:b/>
          <w:sz w:val="24"/>
          <w:szCs w:val="24"/>
        </w:rPr>
      </w:pPr>
    </w:p>
    <w:p w:rsidR="00A930C9" w:rsidRDefault="009A0041" w:rsidP="009A0041">
      <w:pPr>
        <w:pStyle w:val="NoSpacing"/>
        <w:rPr>
          <w:rFonts w:ascii="Times New Roman" w:hAnsi="Times New Roman" w:cs="Times New Roman"/>
          <w:sz w:val="24"/>
          <w:szCs w:val="24"/>
        </w:rPr>
      </w:pPr>
      <w:r w:rsidRPr="009A0041">
        <w:rPr>
          <w:rFonts w:ascii="Times New Roman" w:hAnsi="Times New Roman" w:cs="Times New Roman"/>
          <w:sz w:val="24"/>
          <w:szCs w:val="24"/>
        </w:rPr>
        <w:tab/>
      </w:r>
      <w:r w:rsidR="00B156EB">
        <w:rPr>
          <w:rFonts w:ascii="Times New Roman" w:hAnsi="Times New Roman" w:cs="Times New Roman"/>
          <w:sz w:val="24"/>
          <w:szCs w:val="24"/>
        </w:rPr>
        <w:t xml:space="preserve">Part 4 </w:t>
      </w:r>
      <w:r w:rsidR="00A930C9">
        <w:rPr>
          <w:rFonts w:ascii="Times New Roman" w:hAnsi="Times New Roman" w:cs="Times New Roman"/>
          <w:sz w:val="24"/>
          <w:szCs w:val="24"/>
        </w:rPr>
        <w:t xml:space="preserve">of the Commission’s Regulations </w:t>
      </w:r>
      <w:r w:rsidR="00334277">
        <w:rPr>
          <w:rFonts w:ascii="Times New Roman" w:hAnsi="Times New Roman" w:cs="Times New Roman"/>
          <w:sz w:val="24"/>
          <w:szCs w:val="24"/>
        </w:rPr>
        <w:t xml:space="preserve">sets out </w:t>
      </w:r>
      <w:r w:rsidR="00B156EB">
        <w:rPr>
          <w:rFonts w:ascii="Times New Roman" w:hAnsi="Times New Roman" w:cs="Times New Roman"/>
          <w:sz w:val="24"/>
          <w:szCs w:val="24"/>
        </w:rPr>
        <w:t xml:space="preserve">rules applicable to Commodity Pool Operators (CPO) and Commodity Trading Advisors (CTA).  </w:t>
      </w:r>
      <w:r w:rsidR="00CB6793">
        <w:rPr>
          <w:rFonts w:ascii="Times New Roman" w:hAnsi="Times New Roman" w:cs="Times New Roman"/>
          <w:sz w:val="24"/>
          <w:szCs w:val="24"/>
        </w:rPr>
        <w:t xml:space="preserve">Section </w:t>
      </w:r>
      <w:r w:rsidR="00A930C9">
        <w:rPr>
          <w:rFonts w:ascii="Times New Roman" w:hAnsi="Times New Roman" w:cs="Times New Roman"/>
          <w:sz w:val="24"/>
          <w:szCs w:val="24"/>
        </w:rPr>
        <w:t>4</w:t>
      </w:r>
      <w:r w:rsidR="00CB6793">
        <w:rPr>
          <w:rFonts w:ascii="Times New Roman" w:hAnsi="Times New Roman" w:cs="Times New Roman"/>
          <w:sz w:val="24"/>
          <w:szCs w:val="24"/>
        </w:rPr>
        <w:t>.7</w:t>
      </w:r>
      <w:r w:rsidR="00A930C9">
        <w:rPr>
          <w:rFonts w:ascii="Times New Roman" w:hAnsi="Times New Roman" w:cs="Times New Roman"/>
          <w:sz w:val="24"/>
          <w:szCs w:val="24"/>
        </w:rPr>
        <w:t xml:space="preserve"> </w:t>
      </w:r>
      <w:r w:rsidR="00334277">
        <w:rPr>
          <w:rFonts w:ascii="Times New Roman" w:hAnsi="Times New Roman" w:cs="Times New Roman"/>
          <w:sz w:val="24"/>
          <w:szCs w:val="24"/>
        </w:rPr>
        <w:t xml:space="preserve">provides </w:t>
      </w:r>
      <w:r w:rsidR="0024114E">
        <w:rPr>
          <w:rFonts w:ascii="Times New Roman" w:hAnsi="Times New Roman" w:cs="Times New Roman"/>
          <w:sz w:val="24"/>
          <w:szCs w:val="24"/>
        </w:rPr>
        <w:t>for</w:t>
      </w:r>
      <w:r w:rsidR="00A930C9">
        <w:rPr>
          <w:rFonts w:ascii="Times New Roman" w:hAnsi="Times New Roman" w:cs="Times New Roman"/>
          <w:sz w:val="24"/>
          <w:szCs w:val="24"/>
        </w:rPr>
        <w:t xml:space="preserve"> reduced regulatory burden</w:t>
      </w:r>
      <w:r w:rsidR="0024114E">
        <w:rPr>
          <w:rFonts w:ascii="Times New Roman" w:hAnsi="Times New Roman" w:cs="Times New Roman"/>
          <w:sz w:val="24"/>
          <w:szCs w:val="24"/>
        </w:rPr>
        <w:t>s</w:t>
      </w:r>
      <w:r w:rsidR="00A930C9">
        <w:rPr>
          <w:rFonts w:ascii="Times New Roman" w:hAnsi="Times New Roman" w:cs="Times New Roman"/>
          <w:sz w:val="24"/>
          <w:szCs w:val="24"/>
        </w:rPr>
        <w:t xml:space="preserve"> for CPO</w:t>
      </w:r>
      <w:r w:rsidR="0024114E">
        <w:rPr>
          <w:rFonts w:ascii="Times New Roman" w:hAnsi="Times New Roman" w:cs="Times New Roman"/>
          <w:sz w:val="24"/>
          <w:szCs w:val="24"/>
        </w:rPr>
        <w:t>s</w:t>
      </w:r>
      <w:r w:rsidR="00A930C9">
        <w:rPr>
          <w:rFonts w:ascii="Times New Roman" w:hAnsi="Times New Roman" w:cs="Times New Roman"/>
          <w:sz w:val="24"/>
          <w:szCs w:val="24"/>
        </w:rPr>
        <w:t xml:space="preserve"> or CTA</w:t>
      </w:r>
      <w:r w:rsidR="0024114E">
        <w:rPr>
          <w:rFonts w:ascii="Times New Roman" w:hAnsi="Times New Roman" w:cs="Times New Roman"/>
          <w:sz w:val="24"/>
          <w:szCs w:val="24"/>
        </w:rPr>
        <w:t>s</w:t>
      </w:r>
      <w:r w:rsidR="00A930C9">
        <w:rPr>
          <w:rFonts w:ascii="Times New Roman" w:hAnsi="Times New Roman" w:cs="Times New Roman"/>
          <w:sz w:val="24"/>
          <w:szCs w:val="24"/>
        </w:rPr>
        <w:t xml:space="preserve"> </w:t>
      </w:r>
      <w:r w:rsidR="0024114E">
        <w:rPr>
          <w:rFonts w:ascii="Times New Roman" w:hAnsi="Times New Roman" w:cs="Times New Roman"/>
          <w:sz w:val="24"/>
          <w:szCs w:val="24"/>
        </w:rPr>
        <w:t>that provide</w:t>
      </w:r>
      <w:r w:rsidR="00A930C9">
        <w:rPr>
          <w:rFonts w:ascii="Times New Roman" w:hAnsi="Times New Roman" w:cs="Times New Roman"/>
          <w:sz w:val="24"/>
          <w:szCs w:val="24"/>
        </w:rPr>
        <w:t xml:space="preserve"> advisory services to </w:t>
      </w:r>
      <w:r w:rsidR="00177C88">
        <w:rPr>
          <w:rFonts w:ascii="Times New Roman" w:hAnsi="Times New Roman" w:cs="Times New Roman"/>
          <w:sz w:val="24"/>
          <w:szCs w:val="24"/>
        </w:rPr>
        <w:t>Q</w:t>
      </w:r>
      <w:r w:rsidR="00D208D4">
        <w:rPr>
          <w:rFonts w:ascii="Times New Roman" w:hAnsi="Times New Roman" w:cs="Times New Roman"/>
          <w:sz w:val="24"/>
          <w:szCs w:val="24"/>
        </w:rPr>
        <w:t xml:space="preserve">ualified </w:t>
      </w:r>
      <w:r w:rsidR="00177C88">
        <w:rPr>
          <w:rFonts w:ascii="Times New Roman" w:hAnsi="Times New Roman" w:cs="Times New Roman"/>
          <w:sz w:val="24"/>
          <w:szCs w:val="24"/>
        </w:rPr>
        <w:t>E</w:t>
      </w:r>
      <w:r w:rsidR="00D208D4">
        <w:rPr>
          <w:rFonts w:ascii="Times New Roman" w:hAnsi="Times New Roman" w:cs="Times New Roman"/>
          <w:sz w:val="24"/>
          <w:szCs w:val="24"/>
        </w:rPr>
        <w:t xml:space="preserve">ligible </w:t>
      </w:r>
      <w:r w:rsidR="00177C88">
        <w:rPr>
          <w:rFonts w:ascii="Times New Roman" w:hAnsi="Times New Roman" w:cs="Times New Roman"/>
          <w:sz w:val="24"/>
          <w:szCs w:val="24"/>
        </w:rPr>
        <w:t>P</w:t>
      </w:r>
      <w:r w:rsidR="00D208D4">
        <w:rPr>
          <w:rFonts w:ascii="Times New Roman" w:hAnsi="Times New Roman" w:cs="Times New Roman"/>
          <w:sz w:val="24"/>
          <w:szCs w:val="24"/>
        </w:rPr>
        <w:t>erson</w:t>
      </w:r>
      <w:r w:rsidR="00177C88">
        <w:rPr>
          <w:rFonts w:ascii="Times New Roman" w:hAnsi="Times New Roman" w:cs="Times New Roman"/>
          <w:sz w:val="24"/>
          <w:szCs w:val="24"/>
        </w:rPr>
        <w:t>s</w:t>
      </w:r>
      <w:r w:rsidR="00D208D4">
        <w:rPr>
          <w:rFonts w:ascii="Times New Roman" w:hAnsi="Times New Roman" w:cs="Times New Roman"/>
          <w:sz w:val="24"/>
          <w:szCs w:val="24"/>
        </w:rPr>
        <w:t xml:space="preserve"> (QEPs)</w:t>
      </w:r>
      <w:r w:rsidR="00A930C9">
        <w:rPr>
          <w:rFonts w:ascii="Times New Roman" w:hAnsi="Times New Roman" w:cs="Times New Roman"/>
          <w:sz w:val="24"/>
          <w:szCs w:val="24"/>
        </w:rPr>
        <w:t xml:space="preserve">.  </w:t>
      </w:r>
      <w:r w:rsidR="00177C88">
        <w:rPr>
          <w:rFonts w:ascii="Times New Roman" w:hAnsi="Times New Roman" w:cs="Times New Roman"/>
          <w:sz w:val="24"/>
          <w:szCs w:val="24"/>
        </w:rPr>
        <w:t>Th</w:t>
      </w:r>
      <w:r w:rsidR="006A6C41">
        <w:rPr>
          <w:rFonts w:ascii="Times New Roman" w:hAnsi="Times New Roman" w:cs="Times New Roman"/>
          <w:sz w:val="24"/>
          <w:szCs w:val="24"/>
        </w:rPr>
        <w:t xml:space="preserve">is exclusion </w:t>
      </w:r>
      <w:r w:rsidR="009A70C0">
        <w:rPr>
          <w:rFonts w:ascii="Times New Roman" w:hAnsi="Times New Roman" w:cs="Times New Roman"/>
          <w:sz w:val="24"/>
          <w:szCs w:val="24"/>
        </w:rPr>
        <w:t>is appropriate a</w:t>
      </w:r>
      <w:r w:rsidR="006A6C41">
        <w:rPr>
          <w:rFonts w:ascii="Times New Roman" w:hAnsi="Times New Roman" w:cs="Times New Roman"/>
          <w:sz w:val="24"/>
          <w:szCs w:val="24"/>
        </w:rPr>
        <w:t xml:space="preserve">s </w:t>
      </w:r>
      <w:r w:rsidR="00177C88">
        <w:rPr>
          <w:rFonts w:ascii="Times New Roman" w:hAnsi="Times New Roman" w:cs="Times New Roman"/>
          <w:sz w:val="24"/>
          <w:szCs w:val="24"/>
        </w:rPr>
        <w:t xml:space="preserve">QEPs exhibit a level of market sophistication and financial resources that traditional </w:t>
      </w:r>
      <w:r w:rsidR="0024114E">
        <w:rPr>
          <w:rFonts w:ascii="Times New Roman" w:hAnsi="Times New Roman" w:cs="Times New Roman"/>
          <w:sz w:val="24"/>
          <w:szCs w:val="24"/>
        </w:rPr>
        <w:t xml:space="preserve">market participants </w:t>
      </w:r>
      <w:r w:rsidR="000C481C">
        <w:rPr>
          <w:rFonts w:ascii="Times New Roman" w:hAnsi="Times New Roman" w:cs="Times New Roman"/>
          <w:sz w:val="24"/>
          <w:szCs w:val="24"/>
        </w:rPr>
        <w:t>lack</w:t>
      </w:r>
      <w:r w:rsidR="0024114E">
        <w:rPr>
          <w:rFonts w:ascii="Times New Roman" w:hAnsi="Times New Roman" w:cs="Times New Roman"/>
          <w:sz w:val="24"/>
          <w:szCs w:val="24"/>
        </w:rPr>
        <w:t xml:space="preserve">.  </w:t>
      </w:r>
      <w:r w:rsidR="002E5EAA">
        <w:rPr>
          <w:rFonts w:ascii="Times New Roman" w:hAnsi="Times New Roman" w:cs="Times New Roman"/>
          <w:sz w:val="24"/>
          <w:szCs w:val="24"/>
        </w:rPr>
        <w:t xml:space="preserve">As a result, </w:t>
      </w:r>
      <w:r w:rsidR="0024114E">
        <w:rPr>
          <w:rFonts w:ascii="Times New Roman" w:hAnsi="Times New Roman" w:cs="Times New Roman"/>
          <w:sz w:val="24"/>
          <w:szCs w:val="24"/>
        </w:rPr>
        <w:t xml:space="preserve">certain regulatory requirements </w:t>
      </w:r>
      <w:r w:rsidR="002E5EAA">
        <w:rPr>
          <w:rFonts w:ascii="Times New Roman" w:hAnsi="Times New Roman" w:cs="Times New Roman"/>
          <w:sz w:val="24"/>
          <w:szCs w:val="24"/>
        </w:rPr>
        <w:t xml:space="preserve">are </w:t>
      </w:r>
      <w:r w:rsidR="00500EC0">
        <w:rPr>
          <w:rFonts w:ascii="Times New Roman" w:hAnsi="Times New Roman" w:cs="Times New Roman"/>
          <w:sz w:val="24"/>
          <w:szCs w:val="24"/>
        </w:rPr>
        <w:t>unnecessary</w:t>
      </w:r>
      <w:r w:rsidR="009A70C0">
        <w:rPr>
          <w:rFonts w:ascii="Times New Roman" w:hAnsi="Times New Roman" w:cs="Times New Roman"/>
          <w:sz w:val="24"/>
          <w:szCs w:val="24"/>
        </w:rPr>
        <w:t xml:space="preserve"> when dealing with QEPs</w:t>
      </w:r>
      <w:r w:rsidR="00334277">
        <w:rPr>
          <w:rFonts w:ascii="Times New Roman" w:hAnsi="Times New Roman" w:cs="Times New Roman"/>
          <w:sz w:val="24"/>
          <w:szCs w:val="24"/>
        </w:rPr>
        <w:t xml:space="preserve">.  Section 4.7 defines QEPs to include </w:t>
      </w:r>
      <w:r w:rsidR="009A70C0">
        <w:rPr>
          <w:rFonts w:ascii="Times New Roman" w:hAnsi="Times New Roman" w:cs="Times New Roman"/>
          <w:sz w:val="24"/>
          <w:szCs w:val="24"/>
        </w:rPr>
        <w:t xml:space="preserve">among others, </w:t>
      </w:r>
      <w:r w:rsidR="00334277">
        <w:rPr>
          <w:rFonts w:ascii="Times New Roman" w:hAnsi="Times New Roman" w:cs="Times New Roman"/>
          <w:sz w:val="24"/>
          <w:szCs w:val="24"/>
        </w:rPr>
        <w:t xml:space="preserve">Futures Commission Merchants, Broker/Dealers, Trusts, </w:t>
      </w:r>
      <w:r w:rsidR="00333CAD">
        <w:rPr>
          <w:rFonts w:ascii="Times New Roman" w:hAnsi="Times New Roman" w:cs="Times New Roman"/>
          <w:sz w:val="24"/>
          <w:szCs w:val="24"/>
        </w:rPr>
        <w:t>accredited investors</w:t>
      </w:r>
      <w:r w:rsidR="00334277">
        <w:rPr>
          <w:rFonts w:ascii="Times New Roman" w:hAnsi="Times New Roman" w:cs="Times New Roman"/>
          <w:sz w:val="24"/>
          <w:szCs w:val="24"/>
        </w:rPr>
        <w:t xml:space="preserve">, as well as non-United States Persons.  </w:t>
      </w:r>
      <w:r w:rsidR="00D356C3">
        <w:rPr>
          <w:rFonts w:ascii="Times New Roman" w:hAnsi="Times New Roman" w:cs="Times New Roman"/>
          <w:sz w:val="24"/>
          <w:szCs w:val="24"/>
        </w:rPr>
        <w:t xml:space="preserve">In addition to identifying specific market participants that meet financial expertise and resource requirements, </w:t>
      </w:r>
      <w:r w:rsidR="00D356C3" w:rsidRPr="00D356C3">
        <w:rPr>
          <w:rFonts w:ascii="Times New Roman" w:hAnsi="Times New Roman" w:cs="Times New Roman"/>
          <w:sz w:val="24"/>
          <w:szCs w:val="24"/>
        </w:rPr>
        <w:t>§</w:t>
      </w:r>
      <w:r w:rsidR="00D356C3">
        <w:rPr>
          <w:rFonts w:ascii="Times New Roman" w:hAnsi="Times New Roman" w:cs="Times New Roman"/>
          <w:sz w:val="24"/>
          <w:szCs w:val="24"/>
        </w:rPr>
        <w:t xml:space="preserve">4.7 also requires </w:t>
      </w:r>
      <w:r w:rsidR="009A70C0">
        <w:rPr>
          <w:rFonts w:ascii="Times New Roman" w:hAnsi="Times New Roman" w:cs="Times New Roman"/>
          <w:sz w:val="24"/>
          <w:szCs w:val="24"/>
        </w:rPr>
        <w:t xml:space="preserve">certain </w:t>
      </w:r>
      <w:r w:rsidR="00D356C3">
        <w:rPr>
          <w:rFonts w:ascii="Times New Roman" w:hAnsi="Times New Roman" w:cs="Times New Roman"/>
          <w:sz w:val="24"/>
          <w:szCs w:val="24"/>
        </w:rPr>
        <w:t xml:space="preserve">market participants to satisfy </w:t>
      </w:r>
      <w:r w:rsidR="00446B95">
        <w:rPr>
          <w:rFonts w:ascii="Times New Roman" w:hAnsi="Times New Roman" w:cs="Times New Roman"/>
          <w:sz w:val="24"/>
          <w:szCs w:val="24"/>
        </w:rPr>
        <w:t xml:space="preserve">portfolio requirements in order to qualify as a QEP.  </w:t>
      </w:r>
      <w:r w:rsidR="00496A58">
        <w:rPr>
          <w:rFonts w:ascii="Times New Roman" w:hAnsi="Times New Roman" w:cs="Times New Roman"/>
          <w:sz w:val="24"/>
          <w:szCs w:val="24"/>
        </w:rPr>
        <w:t>NFX is now acknowledging the market sophistication and financial resource</w:t>
      </w:r>
      <w:r w:rsidR="009A70C0">
        <w:rPr>
          <w:rFonts w:ascii="Times New Roman" w:hAnsi="Times New Roman" w:cs="Times New Roman"/>
          <w:sz w:val="24"/>
          <w:szCs w:val="24"/>
        </w:rPr>
        <w:t xml:space="preserve"> requirement</w:t>
      </w:r>
      <w:r w:rsidR="00496A58">
        <w:rPr>
          <w:rFonts w:ascii="Times New Roman" w:hAnsi="Times New Roman" w:cs="Times New Roman"/>
          <w:sz w:val="24"/>
          <w:szCs w:val="24"/>
        </w:rPr>
        <w:t xml:space="preserve">s </w:t>
      </w:r>
      <w:r w:rsidR="009A70C0">
        <w:rPr>
          <w:rFonts w:ascii="Times New Roman" w:hAnsi="Times New Roman" w:cs="Times New Roman"/>
          <w:sz w:val="24"/>
          <w:szCs w:val="24"/>
        </w:rPr>
        <w:t xml:space="preserve">outlined in the </w:t>
      </w:r>
      <w:r w:rsidR="00496A58">
        <w:rPr>
          <w:rFonts w:ascii="Times New Roman" w:hAnsi="Times New Roman" w:cs="Times New Roman"/>
          <w:sz w:val="24"/>
          <w:szCs w:val="24"/>
        </w:rPr>
        <w:t>QEP</w:t>
      </w:r>
      <w:r w:rsidR="009A70C0">
        <w:rPr>
          <w:rFonts w:ascii="Times New Roman" w:hAnsi="Times New Roman" w:cs="Times New Roman"/>
          <w:sz w:val="24"/>
          <w:szCs w:val="24"/>
        </w:rPr>
        <w:t xml:space="preserve"> definition </w:t>
      </w:r>
      <w:r w:rsidR="00496A58">
        <w:rPr>
          <w:rFonts w:ascii="Times New Roman" w:hAnsi="Times New Roman" w:cs="Times New Roman"/>
          <w:sz w:val="24"/>
          <w:szCs w:val="24"/>
        </w:rPr>
        <w:t xml:space="preserve">and amending its rules </w:t>
      </w:r>
      <w:r w:rsidR="003B4925">
        <w:rPr>
          <w:rFonts w:ascii="Times New Roman" w:hAnsi="Times New Roman" w:cs="Times New Roman"/>
          <w:sz w:val="24"/>
          <w:szCs w:val="24"/>
        </w:rPr>
        <w:t xml:space="preserve">and Reference Guides </w:t>
      </w:r>
      <w:r w:rsidR="00496A58">
        <w:rPr>
          <w:rFonts w:ascii="Times New Roman" w:hAnsi="Times New Roman" w:cs="Times New Roman"/>
          <w:sz w:val="24"/>
          <w:szCs w:val="24"/>
        </w:rPr>
        <w:t xml:space="preserve">to allow certain QEPs to </w:t>
      </w:r>
      <w:r w:rsidR="009A70C0">
        <w:rPr>
          <w:rFonts w:ascii="Times New Roman" w:hAnsi="Times New Roman" w:cs="Times New Roman"/>
          <w:sz w:val="24"/>
          <w:szCs w:val="24"/>
        </w:rPr>
        <w:t xml:space="preserve">execute </w:t>
      </w:r>
      <w:r w:rsidR="00496A58">
        <w:rPr>
          <w:rFonts w:ascii="Times New Roman" w:hAnsi="Times New Roman" w:cs="Times New Roman"/>
          <w:sz w:val="24"/>
          <w:szCs w:val="24"/>
        </w:rPr>
        <w:t>block</w:t>
      </w:r>
      <w:r w:rsidR="009A70C0">
        <w:rPr>
          <w:rFonts w:ascii="Times New Roman" w:hAnsi="Times New Roman" w:cs="Times New Roman"/>
          <w:sz w:val="24"/>
          <w:szCs w:val="24"/>
        </w:rPr>
        <w:t xml:space="preserve"> transaction</w:t>
      </w:r>
      <w:r w:rsidR="00496A58">
        <w:rPr>
          <w:rFonts w:ascii="Times New Roman" w:hAnsi="Times New Roman" w:cs="Times New Roman"/>
          <w:sz w:val="24"/>
          <w:szCs w:val="24"/>
        </w:rPr>
        <w:t xml:space="preserve">s.  </w:t>
      </w:r>
      <w:r w:rsidR="001139AD">
        <w:rPr>
          <w:rFonts w:ascii="Times New Roman" w:hAnsi="Times New Roman" w:cs="Times New Roman"/>
          <w:sz w:val="24"/>
          <w:szCs w:val="24"/>
        </w:rPr>
        <w:t xml:space="preserve">The Exchange notes that not all QEPs will be allowed to </w:t>
      </w:r>
      <w:r w:rsidR="00D430DB">
        <w:rPr>
          <w:rFonts w:ascii="Times New Roman" w:hAnsi="Times New Roman" w:cs="Times New Roman"/>
          <w:sz w:val="24"/>
          <w:szCs w:val="24"/>
        </w:rPr>
        <w:t xml:space="preserve">execute block trades under this </w:t>
      </w:r>
      <w:r w:rsidR="003B4925">
        <w:rPr>
          <w:rFonts w:ascii="Times New Roman" w:hAnsi="Times New Roman" w:cs="Times New Roman"/>
          <w:sz w:val="24"/>
          <w:szCs w:val="24"/>
        </w:rPr>
        <w:t>new rule</w:t>
      </w:r>
      <w:r w:rsidR="00D430DB">
        <w:rPr>
          <w:rFonts w:ascii="Times New Roman" w:hAnsi="Times New Roman" w:cs="Times New Roman"/>
          <w:sz w:val="24"/>
          <w:szCs w:val="24"/>
        </w:rPr>
        <w:t xml:space="preserve">.  </w:t>
      </w:r>
      <w:r w:rsidR="009A70C0">
        <w:rPr>
          <w:rFonts w:ascii="Times New Roman" w:hAnsi="Times New Roman" w:cs="Times New Roman"/>
          <w:sz w:val="24"/>
          <w:szCs w:val="24"/>
        </w:rPr>
        <w:t>Th</w:t>
      </w:r>
      <w:r w:rsidR="002E5EAA">
        <w:rPr>
          <w:rFonts w:ascii="Times New Roman" w:hAnsi="Times New Roman" w:cs="Times New Roman"/>
          <w:sz w:val="24"/>
          <w:szCs w:val="24"/>
        </w:rPr>
        <w:t>e</w:t>
      </w:r>
      <w:r w:rsidR="009A70C0">
        <w:rPr>
          <w:rFonts w:ascii="Times New Roman" w:hAnsi="Times New Roman" w:cs="Times New Roman"/>
          <w:sz w:val="24"/>
          <w:szCs w:val="24"/>
        </w:rPr>
        <w:t xml:space="preserve"> Exchange believes adoption of this standard recognizes a middle ground between retail customers and ECPs.  There are a number of market participants that, while not meeting the ECP standard, still possess the expertise and financial resources to execute block transactions.  The Exchange is allowing the following categories of QEPs to execute block trades.   </w:t>
      </w:r>
    </w:p>
    <w:p w:rsidR="00CB6793" w:rsidRDefault="00CB6793" w:rsidP="009A0041">
      <w:pPr>
        <w:pStyle w:val="NoSpacing"/>
        <w:rPr>
          <w:rFonts w:ascii="Times New Roman" w:hAnsi="Times New Roman" w:cs="Times New Roman"/>
          <w:sz w:val="24"/>
          <w:szCs w:val="24"/>
        </w:rPr>
      </w:pPr>
    </w:p>
    <w:p w:rsidR="006F6E49" w:rsidRDefault="006F6E49" w:rsidP="009A0041">
      <w:pPr>
        <w:pStyle w:val="NoSpacing"/>
        <w:rPr>
          <w:rFonts w:ascii="Times New Roman" w:hAnsi="Times New Roman" w:cs="Times New Roman"/>
          <w:sz w:val="24"/>
          <w:szCs w:val="24"/>
        </w:rPr>
      </w:pPr>
      <w:r w:rsidRPr="006F6E49">
        <w:rPr>
          <w:rFonts w:ascii="Times New Roman" w:hAnsi="Times New Roman" w:cs="Times New Roman"/>
          <w:b/>
          <w:sz w:val="24"/>
          <w:szCs w:val="24"/>
        </w:rPr>
        <w:t>Accredited Investors</w:t>
      </w:r>
      <w:r>
        <w:rPr>
          <w:rFonts w:ascii="Times New Roman" w:hAnsi="Times New Roman" w:cs="Times New Roman"/>
          <w:sz w:val="24"/>
          <w:szCs w:val="24"/>
        </w:rPr>
        <w:t xml:space="preserve">:  </w:t>
      </w:r>
    </w:p>
    <w:p w:rsidR="006F6E49" w:rsidRDefault="006F6E49" w:rsidP="00F80A1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Any natural person that would qualify as an Accredited Investor under </w:t>
      </w:r>
      <w:r w:rsidR="002E5EAA">
        <w:rPr>
          <w:rFonts w:ascii="Times New Roman" w:hAnsi="Times New Roman" w:cs="Times New Roman"/>
          <w:sz w:val="24"/>
          <w:szCs w:val="24"/>
        </w:rPr>
        <w:t xml:space="preserve">SEC regulation </w:t>
      </w:r>
      <w:r w:rsidRPr="006F6E49">
        <w:rPr>
          <w:rFonts w:ascii="Times New Roman" w:hAnsi="Times New Roman" w:cs="Times New Roman"/>
          <w:sz w:val="24"/>
          <w:szCs w:val="24"/>
        </w:rPr>
        <w:t>501(a)(5)</w:t>
      </w:r>
      <w:r>
        <w:rPr>
          <w:rFonts w:ascii="Times New Roman" w:hAnsi="Times New Roman" w:cs="Times New Roman"/>
          <w:sz w:val="24"/>
          <w:szCs w:val="24"/>
        </w:rPr>
        <w:t xml:space="preserve">.  Under current SEC regulations this would require an individual’s net worth, or joint net worth with that person’s spouse, to exceed $5,000,000.  </w:t>
      </w:r>
    </w:p>
    <w:p w:rsidR="00F80A1E" w:rsidRDefault="00F80A1E" w:rsidP="00F80A1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Any natural person that would qualify as an Accredited Investor under </w:t>
      </w:r>
      <w:r w:rsidR="002E5EAA">
        <w:rPr>
          <w:rFonts w:ascii="Times New Roman" w:hAnsi="Times New Roman" w:cs="Times New Roman"/>
          <w:sz w:val="24"/>
          <w:szCs w:val="24"/>
        </w:rPr>
        <w:t xml:space="preserve">SEC regulation </w:t>
      </w:r>
      <w:r w:rsidRPr="006F6E49">
        <w:rPr>
          <w:rFonts w:ascii="Times New Roman" w:hAnsi="Times New Roman" w:cs="Times New Roman"/>
          <w:sz w:val="24"/>
          <w:szCs w:val="24"/>
        </w:rPr>
        <w:t>501(a)(</w:t>
      </w:r>
      <w:r>
        <w:rPr>
          <w:rFonts w:ascii="Times New Roman" w:hAnsi="Times New Roman" w:cs="Times New Roman"/>
          <w:sz w:val="24"/>
          <w:szCs w:val="24"/>
        </w:rPr>
        <w:t>6</w:t>
      </w:r>
      <w:r w:rsidRPr="006F6E49">
        <w:rPr>
          <w:rFonts w:ascii="Times New Roman" w:hAnsi="Times New Roman" w:cs="Times New Roman"/>
          <w:sz w:val="24"/>
          <w:szCs w:val="24"/>
        </w:rPr>
        <w:t>)</w:t>
      </w:r>
      <w:r>
        <w:rPr>
          <w:rFonts w:ascii="Times New Roman" w:hAnsi="Times New Roman" w:cs="Times New Roman"/>
          <w:sz w:val="24"/>
          <w:szCs w:val="24"/>
        </w:rPr>
        <w:t xml:space="preserve">.  Under current SEC regulations this would require an individual’s income to exceed $200,000 in each of the two most recent years, or joint </w:t>
      </w:r>
      <w:r w:rsidRPr="00F80A1E">
        <w:rPr>
          <w:rFonts w:ascii="Times New Roman" w:hAnsi="Times New Roman" w:cs="Times New Roman"/>
          <w:sz w:val="24"/>
          <w:szCs w:val="24"/>
        </w:rPr>
        <w:t>income with that person's spouse in excess of $300,000 in each of those years</w:t>
      </w:r>
      <w:r w:rsidR="002E5EAA">
        <w:rPr>
          <w:rFonts w:ascii="Times New Roman" w:hAnsi="Times New Roman" w:cs="Times New Roman"/>
          <w:sz w:val="24"/>
          <w:szCs w:val="24"/>
        </w:rPr>
        <w:t>,</w:t>
      </w:r>
      <w:r w:rsidRPr="00F80A1E">
        <w:rPr>
          <w:rFonts w:ascii="Times New Roman" w:hAnsi="Times New Roman" w:cs="Times New Roman"/>
          <w:sz w:val="24"/>
          <w:szCs w:val="24"/>
        </w:rPr>
        <w:t xml:space="preserve"> and has a reasonable expectation of reaching the same income level in the current year;</w:t>
      </w:r>
    </w:p>
    <w:p w:rsidR="00A53051" w:rsidRDefault="00A53051" w:rsidP="00B0234B">
      <w:pPr>
        <w:pStyle w:val="NoSpacing"/>
        <w:rPr>
          <w:rFonts w:ascii="Times New Roman" w:hAnsi="Times New Roman" w:cs="Times New Roman"/>
          <w:sz w:val="24"/>
          <w:szCs w:val="24"/>
        </w:rPr>
      </w:pPr>
    </w:p>
    <w:p w:rsidR="006F6E49" w:rsidRDefault="00A53051" w:rsidP="00B0234B">
      <w:pPr>
        <w:pStyle w:val="NoSpacing"/>
        <w:rPr>
          <w:rFonts w:ascii="Times New Roman" w:hAnsi="Times New Roman" w:cs="Times New Roman"/>
          <w:sz w:val="24"/>
          <w:szCs w:val="24"/>
        </w:rPr>
      </w:pPr>
      <w:r w:rsidRPr="00A53051">
        <w:rPr>
          <w:rFonts w:ascii="Times New Roman" w:hAnsi="Times New Roman" w:cs="Times New Roman"/>
          <w:b/>
          <w:sz w:val="24"/>
          <w:szCs w:val="24"/>
        </w:rPr>
        <w:t>Corporation or Similar Business</w:t>
      </w:r>
      <w:r>
        <w:rPr>
          <w:rFonts w:ascii="Times New Roman" w:hAnsi="Times New Roman" w:cs="Times New Roman"/>
          <w:sz w:val="24"/>
          <w:szCs w:val="24"/>
        </w:rPr>
        <w:t>:</w:t>
      </w:r>
    </w:p>
    <w:p w:rsidR="00A53051" w:rsidRDefault="00A53051" w:rsidP="00A53051">
      <w:pPr>
        <w:pStyle w:val="NoSpacing"/>
        <w:numPr>
          <w:ilvl w:val="0"/>
          <w:numId w:val="4"/>
        </w:numPr>
        <w:rPr>
          <w:rFonts w:ascii="Times New Roman" w:hAnsi="Times New Roman" w:cs="Times New Roman"/>
          <w:sz w:val="24"/>
          <w:szCs w:val="24"/>
        </w:rPr>
      </w:pPr>
      <w:r w:rsidRPr="00A53051">
        <w:rPr>
          <w:rFonts w:ascii="Times New Roman" w:hAnsi="Times New Roman" w:cs="Times New Roman"/>
          <w:sz w:val="24"/>
          <w:szCs w:val="24"/>
        </w:rPr>
        <w:t>A corporation, similar business trust, or partnership, limited liability company or similar business venture, other than a pool, which has total assets in excess of $5,000,000</w:t>
      </w:r>
      <w:r>
        <w:rPr>
          <w:rFonts w:ascii="Times New Roman" w:hAnsi="Times New Roman" w:cs="Times New Roman"/>
          <w:sz w:val="24"/>
          <w:szCs w:val="24"/>
        </w:rPr>
        <w:t xml:space="preserve">.  </w:t>
      </w:r>
    </w:p>
    <w:p w:rsidR="0005777E" w:rsidRDefault="0005777E" w:rsidP="009A0041">
      <w:pPr>
        <w:pStyle w:val="NoSpacing"/>
        <w:rPr>
          <w:rFonts w:ascii="Times New Roman" w:hAnsi="Times New Roman" w:cs="Times New Roman"/>
          <w:sz w:val="24"/>
          <w:szCs w:val="24"/>
        </w:rPr>
      </w:pPr>
    </w:p>
    <w:p w:rsidR="003B767E" w:rsidRDefault="003B767E" w:rsidP="009A0041">
      <w:pPr>
        <w:pStyle w:val="NoSpacing"/>
        <w:rPr>
          <w:rFonts w:ascii="Times New Roman" w:hAnsi="Times New Roman" w:cs="Times New Roman"/>
          <w:sz w:val="24"/>
          <w:szCs w:val="24"/>
        </w:rPr>
      </w:pPr>
      <w:r w:rsidRPr="003B767E">
        <w:rPr>
          <w:rFonts w:ascii="Times New Roman" w:hAnsi="Times New Roman" w:cs="Times New Roman"/>
          <w:b/>
          <w:sz w:val="24"/>
          <w:szCs w:val="24"/>
        </w:rPr>
        <w:lastRenderedPageBreak/>
        <w:t>Non-US Persons</w:t>
      </w:r>
      <w:r>
        <w:rPr>
          <w:rFonts w:ascii="Times New Roman" w:hAnsi="Times New Roman" w:cs="Times New Roman"/>
          <w:sz w:val="24"/>
          <w:szCs w:val="24"/>
        </w:rPr>
        <w:t xml:space="preserve">:  Non-US persons as defined by </w:t>
      </w:r>
      <w:r w:rsidRPr="00D356C3">
        <w:rPr>
          <w:rFonts w:ascii="Times New Roman" w:hAnsi="Times New Roman" w:cs="Times New Roman"/>
          <w:sz w:val="24"/>
          <w:szCs w:val="24"/>
        </w:rPr>
        <w:t>§</w:t>
      </w:r>
      <w:r>
        <w:rPr>
          <w:rFonts w:ascii="Times New Roman" w:hAnsi="Times New Roman" w:cs="Times New Roman"/>
          <w:sz w:val="24"/>
          <w:szCs w:val="24"/>
        </w:rPr>
        <w:t>4.7 of the Commission’s regulations</w:t>
      </w:r>
    </w:p>
    <w:p w:rsidR="003B767E" w:rsidRDefault="003B767E" w:rsidP="009A0041">
      <w:pPr>
        <w:pStyle w:val="NoSpacing"/>
        <w:rPr>
          <w:rFonts w:ascii="Times New Roman" w:hAnsi="Times New Roman" w:cs="Times New Roman"/>
          <w:sz w:val="24"/>
          <w:szCs w:val="24"/>
        </w:rPr>
      </w:pPr>
    </w:p>
    <w:p w:rsidR="00F9285C" w:rsidRDefault="0005777E" w:rsidP="009A0041">
      <w:pPr>
        <w:pStyle w:val="NoSpacing"/>
        <w:rPr>
          <w:rFonts w:ascii="Times New Roman" w:hAnsi="Times New Roman" w:cs="Times New Roman"/>
          <w:sz w:val="24"/>
          <w:szCs w:val="24"/>
        </w:rPr>
      </w:pPr>
      <w:r>
        <w:rPr>
          <w:rFonts w:ascii="Times New Roman" w:hAnsi="Times New Roman" w:cs="Times New Roman"/>
          <w:sz w:val="24"/>
          <w:szCs w:val="24"/>
        </w:rPr>
        <w:t xml:space="preserve">Each of the </w:t>
      </w:r>
      <w:r w:rsidR="005C192D">
        <w:rPr>
          <w:rFonts w:ascii="Times New Roman" w:hAnsi="Times New Roman" w:cs="Times New Roman"/>
          <w:sz w:val="24"/>
          <w:szCs w:val="24"/>
        </w:rPr>
        <w:t xml:space="preserve">US-based QEPs outlined above </w:t>
      </w:r>
      <w:r>
        <w:rPr>
          <w:rFonts w:ascii="Times New Roman" w:hAnsi="Times New Roman" w:cs="Times New Roman"/>
          <w:sz w:val="24"/>
          <w:szCs w:val="24"/>
        </w:rPr>
        <w:t xml:space="preserve">must also satisfy </w:t>
      </w:r>
      <w:r w:rsidR="00F72946">
        <w:rPr>
          <w:rFonts w:ascii="Times New Roman" w:hAnsi="Times New Roman" w:cs="Times New Roman"/>
          <w:sz w:val="24"/>
          <w:szCs w:val="24"/>
        </w:rPr>
        <w:t xml:space="preserve">one of the </w:t>
      </w:r>
      <w:r>
        <w:rPr>
          <w:rFonts w:ascii="Times New Roman" w:hAnsi="Times New Roman" w:cs="Times New Roman"/>
          <w:sz w:val="24"/>
          <w:szCs w:val="24"/>
        </w:rPr>
        <w:t>th</w:t>
      </w:r>
      <w:r w:rsidR="00F72946">
        <w:rPr>
          <w:rFonts w:ascii="Times New Roman" w:hAnsi="Times New Roman" w:cs="Times New Roman"/>
          <w:sz w:val="24"/>
          <w:szCs w:val="24"/>
        </w:rPr>
        <w:t>re</w:t>
      </w:r>
      <w:r>
        <w:rPr>
          <w:rFonts w:ascii="Times New Roman" w:hAnsi="Times New Roman" w:cs="Times New Roman"/>
          <w:sz w:val="24"/>
          <w:szCs w:val="24"/>
        </w:rPr>
        <w:t xml:space="preserve">e portfolio requirements outlined in </w:t>
      </w:r>
      <w:r w:rsidR="00177D9F" w:rsidRPr="00D356C3">
        <w:rPr>
          <w:rFonts w:ascii="Times New Roman" w:hAnsi="Times New Roman" w:cs="Times New Roman"/>
          <w:sz w:val="24"/>
          <w:szCs w:val="24"/>
        </w:rPr>
        <w:t>§</w:t>
      </w:r>
      <w:r w:rsidR="00177D9F">
        <w:rPr>
          <w:rFonts w:ascii="Times New Roman" w:hAnsi="Times New Roman" w:cs="Times New Roman"/>
          <w:sz w:val="24"/>
          <w:szCs w:val="24"/>
        </w:rPr>
        <w:t>4.7</w:t>
      </w:r>
      <w:r w:rsidR="005C192D">
        <w:rPr>
          <w:rFonts w:ascii="Times New Roman" w:hAnsi="Times New Roman" w:cs="Times New Roman"/>
          <w:sz w:val="24"/>
          <w:szCs w:val="24"/>
        </w:rPr>
        <w:t xml:space="preserve"> in order to execute block trades in accordance with this amendment</w:t>
      </w:r>
      <w:r w:rsidR="00177D9F">
        <w:rPr>
          <w:rFonts w:ascii="Times New Roman" w:hAnsi="Times New Roman" w:cs="Times New Roman"/>
          <w:sz w:val="24"/>
          <w:szCs w:val="24"/>
        </w:rPr>
        <w:t>.</w:t>
      </w:r>
      <w:r w:rsidR="00C7073A">
        <w:rPr>
          <w:rStyle w:val="FootnoteReference"/>
          <w:rFonts w:ascii="Times New Roman" w:hAnsi="Times New Roman" w:cs="Times New Roman"/>
          <w:sz w:val="24"/>
          <w:szCs w:val="24"/>
        </w:rPr>
        <w:footnoteReference w:id="2"/>
      </w:r>
      <w:r w:rsidR="00177D9F">
        <w:rPr>
          <w:rFonts w:ascii="Times New Roman" w:hAnsi="Times New Roman" w:cs="Times New Roman"/>
          <w:sz w:val="24"/>
          <w:szCs w:val="24"/>
        </w:rPr>
        <w:t xml:space="preserve"> </w:t>
      </w:r>
      <w:r w:rsidR="003B3479">
        <w:rPr>
          <w:rFonts w:ascii="Times New Roman" w:hAnsi="Times New Roman" w:cs="Times New Roman"/>
          <w:sz w:val="24"/>
          <w:szCs w:val="24"/>
        </w:rPr>
        <w:t xml:space="preserve"> </w:t>
      </w:r>
      <w:r w:rsidR="00352B60">
        <w:rPr>
          <w:rFonts w:ascii="Times New Roman" w:hAnsi="Times New Roman" w:cs="Times New Roman"/>
          <w:sz w:val="24"/>
          <w:szCs w:val="24"/>
        </w:rPr>
        <w:t xml:space="preserve">Non-US persons will not be required to meet the portfolio requirements set out in </w:t>
      </w:r>
      <w:r w:rsidR="00352B60" w:rsidRPr="00D356C3">
        <w:rPr>
          <w:rFonts w:ascii="Times New Roman" w:hAnsi="Times New Roman" w:cs="Times New Roman"/>
          <w:sz w:val="24"/>
          <w:szCs w:val="24"/>
        </w:rPr>
        <w:t>§</w:t>
      </w:r>
      <w:r w:rsidR="00352B60">
        <w:rPr>
          <w:rFonts w:ascii="Times New Roman" w:hAnsi="Times New Roman" w:cs="Times New Roman"/>
          <w:sz w:val="24"/>
          <w:szCs w:val="24"/>
        </w:rPr>
        <w:t xml:space="preserve">4.7.  </w:t>
      </w:r>
    </w:p>
    <w:p w:rsidR="00317431" w:rsidRDefault="00317431" w:rsidP="00371885">
      <w:pPr>
        <w:pStyle w:val="NoSpacing"/>
        <w:ind w:firstLine="720"/>
        <w:rPr>
          <w:rFonts w:ascii="Times New Roman" w:hAnsi="Times New Roman" w:cs="Times New Roman"/>
          <w:sz w:val="24"/>
          <w:szCs w:val="24"/>
        </w:rPr>
      </w:pPr>
    </w:p>
    <w:p w:rsidR="00317431" w:rsidRDefault="00317431" w:rsidP="00371885">
      <w:pPr>
        <w:pStyle w:val="NoSpacing"/>
        <w:ind w:firstLine="720"/>
        <w:rPr>
          <w:rFonts w:ascii="Times New Roman" w:hAnsi="Times New Roman" w:cs="Times New Roman"/>
          <w:sz w:val="24"/>
          <w:szCs w:val="24"/>
        </w:rPr>
      </w:pPr>
    </w:p>
    <w:p w:rsidR="0008423C" w:rsidRPr="00E1206A" w:rsidRDefault="00D523C4" w:rsidP="00371885">
      <w:pPr>
        <w:pStyle w:val="NoSpacing"/>
        <w:ind w:firstLine="720"/>
        <w:rPr>
          <w:rFonts w:ascii="Times New Roman" w:eastAsia="Calibri" w:hAnsi="Times New Roman" w:cs="Times New Roman"/>
          <w:sz w:val="24"/>
          <w:szCs w:val="24"/>
        </w:rPr>
      </w:pPr>
      <w:r>
        <w:rPr>
          <w:rFonts w:ascii="Times New Roman" w:hAnsi="Times New Roman" w:cs="Times New Roman"/>
          <w:sz w:val="24"/>
          <w:szCs w:val="24"/>
        </w:rPr>
        <w:t xml:space="preserve">The Exchange </w:t>
      </w:r>
      <w:r w:rsidR="00371885">
        <w:rPr>
          <w:rFonts w:ascii="Times New Roman" w:hAnsi="Times New Roman" w:cs="Times New Roman"/>
          <w:sz w:val="24"/>
          <w:szCs w:val="24"/>
        </w:rPr>
        <w:t xml:space="preserve">notes </w:t>
      </w:r>
      <w:r>
        <w:rPr>
          <w:rFonts w:ascii="Times New Roman" w:hAnsi="Times New Roman" w:cs="Times New Roman"/>
          <w:sz w:val="24"/>
          <w:szCs w:val="24"/>
        </w:rPr>
        <w:t>that futures commission merchants (FCMs) clearing block trades for QEPs will continue to conduct appropriate risk assessment</w:t>
      </w:r>
      <w:r w:rsidR="005C4E09">
        <w:rPr>
          <w:rFonts w:ascii="Times New Roman" w:hAnsi="Times New Roman" w:cs="Times New Roman"/>
          <w:sz w:val="24"/>
          <w:szCs w:val="24"/>
        </w:rPr>
        <w:t>s</w:t>
      </w:r>
      <w:r>
        <w:rPr>
          <w:rFonts w:ascii="Times New Roman" w:hAnsi="Times New Roman" w:cs="Times New Roman"/>
          <w:sz w:val="24"/>
          <w:szCs w:val="24"/>
        </w:rPr>
        <w:t xml:space="preserve"> when executing trades on behalf of their clients.  </w:t>
      </w:r>
      <w:r w:rsidR="00AE777B">
        <w:rPr>
          <w:rFonts w:ascii="Times New Roman" w:hAnsi="Times New Roman" w:cs="Times New Roman"/>
          <w:sz w:val="24"/>
          <w:szCs w:val="24"/>
        </w:rPr>
        <w:t xml:space="preserve">It </w:t>
      </w:r>
      <w:r w:rsidR="004F7D39">
        <w:rPr>
          <w:rFonts w:ascii="Times New Roman" w:hAnsi="Times New Roman" w:cs="Times New Roman"/>
          <w:sz w:val="24"/>
          <w:szCs w:val="24"/>
        </w:rPr>
        <w:t>will continue to</w:t>
      </w:r>
      <w:r w:rsidR="00D430DB">
        <w:rPr>
          <w:rFonts w:ascii="Times New Roman" w:hAnsi="Times New Roman" w:cs="Times New Roman"/>
          <w:sz w:val="24"/>
          <w:szCs w:val="24"/>
        </w:rPr>
        <w:t xml:space="preserve"> be</w:t>
      </w:r>
      <w:r w:rsidR="004F7D39">
        <w:rPr>
          <w:rFonts w:ascii="Times New Roman" w:hAnsi="Times New Roman" w:cs="Times New Roman"/>
          <w:sz w:val="24"/>
          <w:szCs w:val="24"/>
        </w:rPr>
        <w:t xml:space="preserve"> the responsibility of FCMs to prohibit a QEP customer fr</w:t>
      </w:r>
      <w:r w:rsidR="005C4E09">
        <w:rPr>
          <w:rFonts w:ascii="Times New Roman" w:hAnsi="Times New Roman" w:cs="Times New Roman"/>
          <w:sz w:val="24"/>
          <w:szCs w:val="24"/>
        </w:rPr>
        <w:t>o</w:t>
      </w:r>
      <w:r w:rsidR="004F7D39">
        <w:rPr>
          <w:rFonts w:ascii="Times New Roman" w:hAnsi="Times New Roman" w:cs="Times New Roman"/>
          <w:sz w:val="24"/>
          <w:szCs w:val="24"/>
        </w:rPr>
        <w:t xml:space="preserve">m </w:t>
      </w:r>
      <w:r w:rsidR="00C376C0">
        <w:rPr>
          <w:rFonts w:ascii="Times New Roman" w:hAnsi="Times New Roman" w:cs="Times New Roman"/>
          <w:sz w:val="24"/>
          <w:szCs w:val="24"/>
        </w:rPr>
        <w:t xml:space="preserve">executing </w:t>
      </w:r>
      <w:r w:rsidR="004F7D39">
        <w:rPr>
          <w:rFonts w:ascii="Times New Roman" w:hAnsi="Times New Roman" w:cs="Times New Roman"/>
          <w:sz w:val="24"/>
          <w:szCs w:val="24"/>
        </w:rPr>
        <w:t>block</w:t>
      </w:r>
      <w:r w:rsidR="00C376C0">
        <w:rPr>
          <w:rFonts w:ascii="Times New Roman" w:hAnsi="Times New Roman" w:cs="Times New Roman"/>
          <w:sz w:val="24"/>
          <w:szCs w:val="24"/>
        </w:rPr>
        <w:t xml:space="preserve"> trade</w:t>
      </w:r>
      <w:r w:rsidR="005C4E09">
        <w:rPr>
          <w:rFonts w:ascii="Times New Roman" w:hAnsi="Times New Roman" w:cs="Times New Roman"/>
          <w:sz w:val="24"/>
          <w:szCs w:val="24"/>
        </w:rPr>
        <w:t>s</w:t>
      </w:r>
      <w:r w:rsidR="004F7D39">
        <w:rPr>
          <w:rFonts w:ascii="Times New Roman" w:hAnsi="Times New Roman" w:cs="Times New Roman"/>
          <w:sz w:val="24"/>
          <w:szCs w:val="24"/>
        </w:rPr>
        <w:t xml:space="preserve"> if the FCM determines the customer lacks the necessary financial sophistication o</w:t>
      </w:r>
      <w:r w:rsidR="00D430DB">
        <w:rPr>
          <w:rFonts w:ascii="Times New Roman" w:hAnsi="Times New Roman" w:cs="Times New Roman"/>
          <w:sz w:val="24"/>
          <w:szCs w:val="24"/>
        </w:rPr>
        <w:t>r</w:t>
      </w:r>
      <w:r w:rsidR="004F7D39">
        <w:rPr>
          <w:rFonts w:ascii="Times New Roman" w:hAnsi="Times New Roman" w:cs="Times New Roman"/>
          <w:sz w:val="24"/>
          <w:szCs w:val="24"/>
        </w:rPr>
        <w:t xml:space="preserve"> resources to engage in such trading activity.  </w:t>
      </w:r>
      <w:r>
        <w:rPr>
          <w:rFonts w:ascii="Times New Roman" w:hAnsi="Times New Roman" w:cs="Times New Roman"/>
          <w:sz w:val="24"/>
          <w:szCs w:val="24"/>
        </w:rPr>
        <w:t xml:space="preserve">As a result, QEPs will </w:t>
      </w:r>
      <w:r w:rsidR="00371885">
        <w:rPr>
          <w:rFonts w:ascii="Times New Roman" w:hAnsi="Times New Roman" w:cs="Times New Roman"/>
          <w:sz w:val="24"/>
          <w:szCs w:val="24"/>
        </w:rPr>
        <w:t xml:space="preserve">not be allowed to establish excessively large positions through block trades that could pose a risk </w:t>
      </w:r>
      <w:r w:rsidR="00D430DB">
        <w:rPr>
          <w:rFonts w:ascii="Times New Roman" w:hAnsi="Times New Roman" w:cs="Times New Roman"/>
          <w:sz w:val="24"/>
          <w:szCs w:val="24"/>
        </w:rPr>
        <w:t xml:space="preserve">to </w:t>
      </w:r>
      <w:r w:rsidR="00371885">
        <w:rPr>
          <w:rFonts w:ascii="Times New Roman" w:hAnsi="Times New Roman" w:cs="Times New Roman"/>
          <w:sz w:val="24"/>
          <w:szCs w:val="24"/>
        </w:rPr>
        <w:t>the QEP</w:t>
      </w:r>
      <w:r w:rsidR="00500EC0">
        <w:rPr>
          <w:rFonts w:ascii="Times New Roman" w:hAnsi="Times New Roman" w:cs="Times New Roman"/>
          <w:sz w:val="24"/>
          <w:szCs w:val="24"/>
        </w:rPr>
        <w:t xml:space="preserve">, the </w:t>
      </w:r>
      <w:r w:rsidR="00371885">
        <w:rPr>
          <w:rFonts w:ascii="Times New Roman" w:hAnsi="Times New Roman" w:cs="Times New Roman"/>
          <w:sz w:val="24"/>
          <w:szCs w:val="24"/>
        </w:rPr>
        <w:t xml:space="preserve">FCM </w:t>
      </w:r>
      <w:r w:rsidR="00500EC0">
        <w:rPr>
          <w:rFonts w:ascii="Times New Roman" w:hAnsi="Times New Roman" w:cs="Times New Roman"/>
          <w:sz w:val="24"/>
          <w:szCs w:val="24"/>
        </w:rPr>
        <w:t>clearing the transactions or the broader futures marketplace</w:t>
      </w:r>
      <w:r w:rsidR="00371885">
        <w:rPr>
          <w:rFonts w:ascii="Times New Roman" w:hAnsi="Times New Roman" w:cs="Times New Roman"/>
          <w:sz w:val="24"/>
          <w:szCs w:val="24"/>
        </w:rPr>
        <w:t xml:space="preserve">.  </w:t>
      </w:r>
    </w:p>
    <w:p w:rsidR="00371885" w:rsidRDefault="00371885" w:rsidP="0008423C">
      <w:pPr>
        <w:pStyle w:val="Default"/>
        <w:ind w:left="2620"/>
        <w:rPr>
          <w:b/>
          <w:bCs/>
          <w:color w:val="auto"/>
        </w:rPr>
      </w:pPr>
    </w:p>
    <w:p w:rsidR="0008423C" w:rsidRPr="00E1206A" w:rsidRDefault="0008423C" w:rsidP="0008423C">
      <w:pPr>
        <w:pStyle w:val="Default"/>
        <w:ind w:left="2620"/>
        <w:rPr>
          <w:b/>
          <w:bCs/>
          <w:color w:val="auto"/>
          <w:u w:val="single"/>
        </w:rPr>
      </w:pPr>
      <w:r w:rsidRPr="00E1206A">
        <w:rPr>
          <w:b/>
          <w:bCs/>
          <w:color w:val="auto"/>
        </w:rPr>
        <w:t xml:space="preserve">           </w:t>
      </w:r>
      <w:r w:rsidRPr="00E1206A">
        <w:rPr>
          <w:b/>
          <w:bCs/>
          <w:color w:val="auto"/>
          <w:u w:val="single"/>
        </w:rPr>
        <w:t xml:space="preserve">DCM Core Principles </w:t>
      </w:r>
    </w:p>
    <w:p w:rsidR="0008423C" w:rsidRPr="00E1206A" w:rsidRDefault="0008423C" w:rsidP="0008423C">
      <w:pPr>
        <w:pStyle w:val="Default"/>
        <w:ind w:left="2620"/>
        <w:rPr>
          <w:color w:val="auto"/>
        </w:rPr>
      </w:pPr>
    </w:p>
    <w:p w:rsidR="0008423C" w:rsidRPr="00E1206A" w:rsidRDefault="0008423C" w:rsidP="0008423C">
      <w:pPr>
        <w:pStyle w:val="Default"/>
        <w:ind w:firstLine="1310"/>
        <w:rPr>
          <w:color w:val="auto"/>
        </w:rPr>
      </w:pPr>
      <w:r w:rsidRPr="00E1206A">
        <w:rPr>
          <w:color w:val="auto"/>
        </w:rPr>
        <w:t>The Exchange has reviewed the designated contract market core principles (“</w:t>
      </w:r>
      <w:r w:rsidRPr="00E1206A">
        <w:rPr>
          <w:color w:val="auto"/>
          <w:u w:val="single"/>
        </w:rPr>
        <w:t>Core Principles</w:t>
      </w:r>
      <w:r w:rsidRPr="00E1206A">
        <w:rPr>
          <w:color w:val="auto"/>
        </w:rPr>
        <w:t xml:space="preserve">”) as set forth in the Act in connection with the amendments presented herein. Consistent with Core Principle 7 - Availability of General Information, the Exchange will post general information, including the NFX Rulebook as amended herein, on its website: </w:t>
      </w:r>
      <w:hyperlink r:id="rId12" w:history="1">
        <w:r w:rsidRPr="00E1206A">
          <w:rPr>
            <w:rStyle w:val="Hyperlink"/>
          </w:rPr>
          <w:t>business.nasdaq.com/futures</w:t>
        </w:r>
      </w:hyperlink>
      <w:r w:rsidRPr="00E1206A">
        <w:rPr>
          <w:color w:val="auto"/>
        </w:rPr>
        <w:t>.</w:t>
      </w:r>
    </w:p>
    <w:p w:rsidR="0008423C" w:rsidRPr="00E1206A" w:rsidRDefault="0008423C" w:rsidP="0008423C">
      <w:pPr>
        <w:pStyle w:val="Default"/>
        <w:ind w:firstLine="1310"/>
        <w:rPr>
          <w:color w:val="auto"/>
        </w:rPr>
      </w:pPr>
    </w:p>
    <w:p w:rsidR="00E44EB5" w:rsidRPr="00E1206A" w:rsidRDefault="008B041F" w:rsidP="008B041F">
      <w:pPr>
        <w:pStyle w:val="Default"/>
        <w:ind w:firstLine="1310"/>
        <w:rPr>
          <w:rFonts w:eastAsia="Calibri"/>
        </w:rPr>
      </w:pPr>
      <w:r w:rsidRPr="00E1206A">
        <w:rPr>
          <w:color w:val="auto"/>
        </w:rPr>
        <w:t xml:space="preserve">With respect to the block trade amendments set forth in </w:t>
      </w:r>
      <w:r w:rsidRPr="0071432D">
        <w:rPr>
          <w:color w:val="auto"/>
        </w:rPr>
        <w:t>Exhibit</w:t>
      </w:r>
      <w:r w:rsidR="0071432D" w:rsidRPr="0071432D">
        <w:rPr>
          <w:color w:val="auto"/>
        </w:rPr>
        <w:t>s</w:t>
      </w:r>
      <w:r w:rsidRPr="0071432D">
        <w:rPr>
          <w:color w:val="auto"/>
        </w:rPr>
        <w:t xml:space="preserve"> A</w:t>
      </w:r>
      <w:r w:rsidR="0071432D" w:rsidRPr="0071432D">
        <w:rPr>
          <w:color w:val="auto"/>
        </w:rPr>
        <w:t xml:space="preserve"> and B</w:t>
      </w:r>
      <w:r w:rsidR="00E44EB5" w:rsidRPr="0071432D">
        <w:rPr>
          <w:color w:val="auto"/>
        </w:rPr>
        <w:t>,</w:t>
      </w:r>
      <w:r w:rsidRPr="00E1206A">
        <w:rPr>
          <w:color w:val="auto"/>
        </w:rPr>
        <w:t xml:space="preserve"> </w:t>
      </w:r>
      <w:r w:rsidR="00E44EB5">
        <w:rPr>
          <w:color w:val="auto"/>
        </w:rPr>
        <w:t xml:space="preserve">the amendments continue to satisfy </w:t>
      </w:r>
      <w:r w:rsidRPr="00E1206A">
        <w:rPr>
          <w:color w:val="auto"/>
        </w:rPr>
        <w:t>Core Principle</w:t>
      </w:r>
      <w:r w:rsidR="00E44EB5">
        <w:rPr>
          <w:color w:val="auto"/>
        </w:rPr>
        <w:t xml:space="preserve"> 9 - Execution of Transactions</w:t>
      </w:r>
      <w:r w:rsidR="005C4E09">
        <w:rPr>
          <w:color w:val="auto"/>
        </w:rPr>
        <w:t xml:space="preserve">.  The NFX matching engine remains unchanged and continues to provide a </w:t>
      </w:r>
      <w:r w:rsidR="00E44EB5">
        <w:rPr>
          <w:color w:val="auto"/>
        </w:rPr>
        <w:t xml:space="preserve">competitive, open and efficient market and mechanism for executing transactions that protects the price discovery process.  </w:t>
      </w:r>
    </w:p>
    <w:p w:rsidR="005C4E09" w:rsidRPr="00E1206A" w:rsidRDefault="005C4E09" w:rsidP="0008423C">
      <w:pPr>
        <w:pStyle w:val="Default"/>
        <w:ind w:left="2620"/>
        <w:rPr>
          <w:b/>
          <w:bCs/>
          <w:color w:val="auto"/>
        </w:rPr>
      </w:pPr>
    </w:p>
    <w:p w:rsidR="0008423C" w:rsidRPr="00E1206A" w:rsidRDefault="0008423C" w:rsidP="0008423C">
      <w:pPr>
        <w:pStyle w:val="Default"/>
        <w:ind w:left="2620"/>
        <w:rPr>
          <w:b/>
          <w:bCs/>
          <w:color w:val="auto"/>
          <w:u w:val="single"/>
        </w:rPr>
      </w:pPr>
      <w:r w:rsidRPr="00E1206A">
        <w:rPr>
          <w:b/>
          <w:bCs/>
          <w:color w:val="auto"/>
        </w:rPr>
        <w:t xml:space="preserve">           </w:t>
      </w:r>
      <w:r w:rsidRPr="00E1206A">
        <w:rPr>
          <w:b/>
          <w:bCs/>
          <w:color w:val="auto"/>
          <w:u w:val="single"/>
        </w:rPr>
        <w:t xml:space="preserve">Certifications </w:t>
      </w:r>
    </w:p>
    <w:p w:rsidR="0008423C" w:rsidRPr="00E1206A" w:rsidRDefault="0008423C" w:rsidP="0008423C">
      <w:pPr>
        <w:pStyle w:val="Default"/>
        <w:ind w:left="2620"/>
        <w:rPr>
          <w:color w:val="auto"/>
        </w:rPr>
      </w:pPr>
    </w:p>
    <w:p w:rsidR="0008423C" w:rsidRPr="00E1206A" w:rsidRDefault="0008423C" w:rsidP="0008423C">
      <w:pPr>
        <w:pStyle w:val="PlainText"/>
        <w:ind w:firstLine="1310"/>
        <w:rPr>
          <w:rFonts w:ascii="Times New Roman" w:eastAsia="Calibri" w:hAnsi="Times New Roman"/>
          <w:sz w:val="24"/>
          <w:szCs w:val="24"/>
        </w:rPr>
      </w:pPr>
      <w:r w:rsidRPr="00E1206A">
        <w:rPr>
          <w:rFonts w:ascii="Times New Roman" w:hAnsi="Times New Roman"/>
          <w:sz w:val="24"/>
          <w:szCs w:val="24"/>
        </w:rPr>
        <w:t xml:space="preserve">There were no opposing views among NFX’s Board of Directors, members or market participants. The Exchange hereby certifies that the rule amendments set forth herein comply with the Act and the Commission’s regulations thereunder.  The Exchange also certifies that notice of pending certification and a copy of this submission have been concurrently posted on the Exchange’s website at </w:t>
      </w:r>
      <w:hyperlink r:id="rId13" w:history="1">
        <w:r w:rsidRPr="00E1206A">
          <w:rPr>
            <w:rStyle w:val="Hyperlink"/>
            <w:rFonts w:ascii="Times New Roman" w:hAnsi="Times New Roman"/>
            <w:sz w:val="24"/>
            <w:szCs w:val="24"/>
          </w:rPr>
          <w:t>business.nasdaq.com/futures</w:t>
        </w:r>
      </w:hyperlink>
      <w:r w:rsidRPr="00E1206A">
        <w:rPr>
          <w:rFonts w:ascii="Times New Roman" w:hAnsi="Times New Roman"/>
          <w:sz w:val="24"/>
          <w:szCs w:val="24"/>
        </w:rPr>
        <w:t>.</w:t>
      </w:r>
      <w:r w:rsidR="004D0CD8">
        <w:rPr>
          <w:rFonts w:ascii="Times New Roman" w:hAnsi="Times New Roman"/>
          <w:sz w:val="24"/>
          <w:szCs w:val="24"/>
        </w:rPr>
        <w:t xml:space="preserve">  </w:t>
      </w:r>
    </w:p>
    <w:p w:rsidR="0008423C" w:rsidRPr="00E1206A" w:rsidRDefault="0008423C" w:rsidP="0008423C">
      <w:pPr>
        <w:pStyle w:val="NoSpacing"/>
        <w:ind w:firstLine="1310"/>
        <w:rPr>
          <w:rFonts w:ascii="Times New Roman" w:eastAsia="Calibri" w:hAnsi="Times New Roman" w:cs="Times New Roman"/>
          <w:sz w:val="24"/>
          <w:szCs w:val="24"/>
        </w:rPr>
      </w:pPr>
    </w:p>
    <w:p w:rsidR="0008423C" w:rsidRPr="00E1206A" w:rsidRDefault="0008423C" w:rsidP="0008423C">
      <w:pPr>
        <w:keepNext/>
        <w:spacing w:after="0" w:line="240" w:lineRule="auto"/>
        <w:ind w:firstLine="1310"/>
        <w:rPr>
          <w:rFonts w:ascii="Times New Roman" w:hAnsi="Times New Roman" w:cs="Times New Roman"/>
          <w:spacing w:val="-6"/>
          <w:sz w:val="24"/>
          <w:szCs w:val="24"/>
        </w:rPr>
      </w:pPr>
      <w:r w:rsidRPr="00E1206A">
        <w:rPr>
          <w:rFonts w:ascii="Times New Roman" w:eastAsia="Calibri" w:hAnsi="Times New Roman" w:cs="Times New Roman"/>
          <w:sz w:val="24"/>
          <w:szCs w:val="24"/>
        </w:rPr>
        <w:lastRenderedPageBreak/>
        <w:t xml:space="preserve">If you require any additional information regarding the submission, please </w:t>
      </w:r>
      <w:r w:rsidRPr="00E1206A">
        <w:rPr>
          <w:rFonts w:ascii="Times New Roman" w:hAnsi="Times New Roman" w:cs="Times New Roman"/>
          <w:sz w:val="24"/>
          <w:szCs w:val="24"/>
        </w:rPr>
        <w:t>contact</w:t>
      </w:r>
      <w:r w:rsidRPr="00E1206A">
        <w:rPr>
          <w:rFonts w:ascii="Times New Roman" w:hAnsi="Times New Roman" w:cs="Times New Roman"/>
          <w:spacing w:val="-6"/>
          <w:sz w:val="24"/>
          <w:szCs w:val="24"/>
        </w:rPr>
        <w:t xml:space="preserve"> </w:t>
      </w:r>
      <w:r w:rsidRPr="000D7E4D">
        <w:rPr>
          <w:rFonts w:ascii="Times New Roman" w:hAnsi="Times New Roman" w:cs="Times New Roman"/>
          <w:spacing w:val="-6"/>
          <w:sz w:val="24"/>
          <w:szCs w:val="24"/>
        </w:rPr>
        <w:t xml:space="preserve">Aravind Menon at (301) 978-8416 </w:t>
      </w:r>
      <w:r w:rsidRPr="000D7E4D">
        <w:rPr>
          <w:rFonts w:ascii="Times New Roman" w:hAnsi="Times New Roman" w:cs="Times New Roman"/>
          <w:sz w:val="24"/>
          <w:szCs w:val="24"/>
        </w:rPr>
        <w:t>or</w:t>
      </w:r>
      <w:r w:rsidRPr="000D7E4D">
        <w:rPr>
          <w:rFonts w:ascii="Times New Roman" w:hAnsi="Times New Roman" w:cs="Times New Roman"/>
          <w:spacing w:val="-6"/>
          <w:sz w:val="24"/>
          <w:szCs w:val="24"/>
        </w:rPr>
        <w:t xml:space="preserve"> </w:t>
      </w:r>
      <w:r w:rsidRPr="000D7E4D">
        <w:rPr>
          <w:rFonts w:ascii="Times New Roman" w:hAnsi="Times New Roman" w:cs="Times New Roman"/>
          <w:sz w:val="24"/>
          <w:szCs w:val="24"/>
        </w:rPr>
        <w:t>aravind.menon@nasdaq.c</w:t>
      </w:r>
      <w:r w:rsidRPr="00E1206A">
        <w:rPr>
          <w:rFonts w:ascii="Times New Roman" w:hAnsi="Times New Roman" w:cs="Times New Roman"/>
          <w:sz w:val="24"/>
          <w:szCs w:val="24"/>
        </w:rPr>
        <w:t>om</w:t>
      </w:r>
      <w:r w:rsidRPr="00E1206A">
        <w:rPr>
          <w:rFonts w:ascii="Times New Roman" w:hAnsi="Times New Roman" w:cs="Times New Roman"/>
          <w:spacing w:val="-6"/>
          <w:sz w:val="24"/>
          <w:szCs w:val="24"/>
        </w:rPr>
        <w:t xml:space="preserve">.  </w:t>
      </w:r>
      <w:r w:rsidRPr="00E1206A">
        <w:rPr>
          <w:rFonts w:ascii="Times New Roman" w:hAnsi="Times New Roman" w:cs="Times New Roman"/>
          <w:sz w:val="24"/>
          <w:szCs w:val="24"/>
        </w:rPr>
        <w:t>Please</w:t>
      </w:r>
      <w:r w:rsidRPr="00E1206A">
        <w:rPr>
          <w:rFonts w:ascii="Times New Roman" w:hAnsi="Times New Roman" w:cs="Times New Roman"/>
          <w:spacing w:val="-6"/>
          <w:sz w:val="24"/>
          <w:szCs w:val="24"/>
        </w:rPr>
        <w:t xml:space="preserve"> </w:t>
      </w:r>
      <w:r w:rsidRPr="00E1206A">
        <w:rPr>
          <w:rFonts w:ascii="Times New Roman" w:hAnsi="Times New Roman" w:cs="Times New Roman"/>
          <w:sz w:val="24"/>
          <w:szCs w:val="24"/>
        </w:rPr>
        <w:t>refer to</w:t>
      </w:r>
      <w:r w:rsidRPr="00E1206A">
        <w:rPr>
          <w:rFonts w:ascii="Times New Roman" w:hAnsi="Times New Roman" w:cs="Times New Roman"/>
          <w:spacing w:val="-6"/>
          <w:sz w:val="24"/>
          <w:szCs w:val="24"/>
        </w:rPr>
        <w:t xml:space="preserve"> </w:t>
      </w:r>
      <w:r w:rsidR="000D7E4D">
        <w:rPr>
          <w:rFonts w:ascii="Times New Roman" w:hAnsi="Times New Roman" w:cs="Times New Roman"/>
          <w:sz w:val="24"/>
          <w:szCs w:val="24"/>
        </w:rPr>
        <w:t>SR-NFX-2019</w:t>
      </w:r>
      <w:r w:rsidRPr="00E1206A">
        <w:rPr>
          <w:rFonts w:ascii="Times New Roman" w:hAnsi="Times New Roman" w:cs="Times New Roman"/>
          <w:sz w:val="24"/>
          <w:szCs w:val="24"/>
        </w:rPr>
        <w:t>-</w:t>
      </w:r>
      <w:r w:rsidR="008567E4">
        <w:rPr>
          <w:rFonts w:ascii="Times New Roman" w:hAnsi="Times New Roman" w:cs="Times New Roman"/>
          <w:sz w:val="24"/>
          <w:szCs w:val="24"/>
        </w:rPr>
        <w:t>27</w:t>
      </w:r>
      <w:r w:rsidRPr="00E1206A">
        <w:rPr>
          <w:rFonts w:ascii="Times New Roman" w:hAnsi="Times New Roman" w:cs="Times New Roman"/>
          <w:spacing w:val="-9"/>
          <w:sz w:val="24"/>
          <w:szCs w:val="24"/>
        </w:rPr>
        <w:t xml:space="preserve"> </w:t>
      </w:r>
      <w:r w:rsidRPr="00E1206A">
        <w:rPr>
          <w:rFonts w:ascii="Times New Roman" w:eastAsia="Calibri" w:hAnsi="Times New Roman" w:cs="Times New Roman"/>
          <w:sz w:val="24"/>
          <w:szCs w:val="24"/>
        </w:rPr>
        <w:t>in any related correspondence.</w:t>
      </w:r>
      <w:r w:rsidR="00F93853" w:rsidRPr="00E1206A">
        <w:rPr>
          <w:rFonts w:ascii="Times New Roman" w:eastAsia="Calibri" w:hAnsi="Times New Roman" w:cs="Times New Roman"/>
          <w:sz w:val="24"/>
          <w:szCs w:val="24"/>
        </w:rPr>
        <w:t xml:space="preserve">  </w:t>
      </w:r>
    </w:p>
    <w:p w:rsidR="0008423C" w:rsidRPr="00E1206A" w:rsidRDefault="0008423C" w:rsidP="0008423C">
      <w:pPr>
        <w:pStyle w:val="NoSpacing"/>
        <w:keepNext/>
        <w:rPr>
          <w:rFonts w:ascii="Times New Roman" w:eastAsia="Times New Roman" w:hAnsi="Times New Roman" w:cs="Times New Roman"/>
          <w:sz w:val="24"/>
          <w:szCs w:val="24"/>
        </w:rPr>
      </w:pPr>
    </w:p>
    <w:p w:rsidR="0008423C" w:rsidRPr="00E1206A" w:rsidRDefault="0008423C" w:rsidP="0008423C">
      <w:pPr>
        <w:pStyle w:val="NoSpacing"/>
        <w:keepNext/>
        <w:rPr>
          <w:rFonts w:ascii="Times New Roman" w:eastAsia="Calibri" w:hAnsi="Times New Roman" w:cs="Times New Roman"/>
          <w:sz w:val="24"/>
          <w:szCs w:val="24"/>
        </w:rPr>
      </w:pPr>
    </w:p>
    <w:p w:rsidR="0095411C" w:rsidRDefault="0095411C" w:rsidP="0095411C">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rsidR="000719CA" w:rsidRDefault="000719CA" w:rsidP="000719CA">
      <w:pPr>
        <w:pStyle w:val="NoSpacing"/>
        <w:keepNext/>
        <w:ind w:left="2880" w:firstLine="720"/>
        <w:rPr>
          <w:rFonts w:ascii="Times New Roman" w:eastAsia="Calibri" w:hAnsi="Times New Roman" w:cs="Times New Roman"/>
          <w:sz w:val="24"/>
          <w:szCs w:val="24"/>
        </w:rPr>
      </w:pPr>
      <w:r>
        <w:rPr>
          <w:noProof/>
        </w:rPr>
        <w:drawing>
          <wp:inline distT="0" distB="0" distL="0" distR="0" wp14:anchorId="67C3A7D7" wp14:editId="7ED3F34B">
            <wp:extent cx="1637030" cy="594851"/>
            <wp:effectExtent l="0" t="0" r="1270" b="0"/>
            <wp:docPr id="1" name="Picture 1" descr="image1.png"/>
            <wp:cNvGraphicFramePr/>
            <a:graphic xmlns:a="http://schemas.openxmlformats.org/drawingml/2006/main">
              <a:graphicData uri="http://schemas.openxmlformats.org/drawingml/2006/picture">
                <pic:pic xmlns:pic="http://schemas.openxmlformats.org/drawingml/2006/picture">
                  <pic:nvPicPr>
                    <pic:cNvPr id="1" name="Picture 1" descr="image1.png"/>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89981" cy="614092"/>
                    </a:xfrm>
                    <a:prstGeom prst="rect">
                      <a:avLst/>
                    </a:prstGeom>
                    <a:noFill/>
                    <a:ln>
                      <a:noFill/>
                    </a:ln>
                  </pic:spPr>
                </pic:pic>
              </a:graphicData>
            </a:graphic>
          </wp:inline>
        </w:drawing>
      </w:r>
    </w:p>
    <w:p w:rsidR="0095411C" w:rsidRPr="000011A2" w:rsidRDefault="000719CA" w:rsidP="000719CA">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Kevin Kennedy</w:t>
      </w:r>
    </w:p>
    <w:p w:rsidR="0008423C" w:rsidRPr="00E1206A" w:rsidRDefault="0095411C" w:rsidP="0095411C">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08423C" w:rsidRDefault="0008423C" w:rsidP="0008423C">
      <w:pPr>
        <w:pStyle w:val="NoSpacing"/>
        <w:rPr>
          <w:rFonts w:ascii="Times New Roman" w:eastAsia="Calibri" w:hAnsi="Times New Roman" w:cs="Times New Roman"/>
          <w:sz w:val="24"/>
          <w:szCs w:val="24"/>
        </w:rPr>
      </w:pPr>
    </w:p>
    <w:p w:rsidR="000422FA" w:rsidRDefault="000422FA" w:rsidP="0008423C">
      <w:pPr>
        <w:pStyle w:val="NoSpacing"/>
        <w:rPr>
          <w:rFonts w:ascii="Times New Roman" w:eastAsia="Calibri" w:hAnsi="Times New Roman" w:cs="Times New Roman"/>
          <w:sz w:val="24"/>
          <w:szCs w:val="24"/>
        </w:rPr>
      </w:pPr>
    </w:p>
    <w:p w:rsidR="0095411C" w:rsidRPr="00E1206A" w:rsidRDefault="0095411C" w:rsidP="0008423C">
      <w:pPr>
        <w:pStyle w:val="NoSpacing"/>
        <w:rPr>
          <w:rFonts w:ascii="Times New Roman" w:eastAsia="Calibri" w:hAnsi="Times New Roman" w:cs="Times New Roman"/>
          <w:sz w:val="24"/>
          <w:szCs w:val="24"/>
        </w:rPr>
      </w:pPr>
    </w:p>
    <w:p w:rsidR="005952B4" w:rsidRDefault="0008423C" w:rsidP="0008423C">
      <w:pPr>
        <w:spacing w:after="0" w:line="240" w:lineRule="auto"/>
        <w:rPr>
          <w:rFonts w:ascii="Times New Roman" w:hAnsi="Times New Roman" w:cs="Times New Roman"/>
          <w:sz w:val="24"/>
          <w:szCs w:val="24"/>
        </w:rPr>
      </w:pPr>
      <w:r w:rsidRPr="00E1206A">
        <w:rPr>
          <w:rFonts w:ascii="Times New Roman" w:hAnsi="Times New Roman" w:cs="Times New Roman"/>
          <w:sz w:val="24"/>
          <w:szCs w:val="24"/>
        </w:rPr>
        <w:t xml:space="preserve">Attachments: </w:t>
      </w:r>
    </w:p>
    <w:p w:rsidR="005952B4" w:rsidRDefault="005952B4" w:rsidP="0008423C">
      <w:pPr>
        <w:spacing w:after="0" w:line="240" w:lineRule="auto"/>
        <w:rPr>
          <w:rFonts w:ascii="Times New Roman" w:hAnsi="Times New Roman" w:cs="Times New Roman"/>
          <w:sz w:val="24"/>
          <w:szCs w:val="24"/>
        </w:rPr>
      </w:pPr>
    </w:p>
    <w:p w:rsidR="0008423C" w:rsidRDefault="000D7E4D" w:rsidP="0008423C">
      <w:pPr>
        <w:spacing w:after="0" w:line="240" w:lineRule="auto"/>
        <w:rPr>
          <w:rFonts w:ascii="Times New Roman" w:hAnsi="Times New Roman" w:cs="Times New Roman"/>
          <w:sz w:val="24"/>
          <w:szCs w:val="24"/>
        </w:rPr>
      </w:pPr>
      <w:r>
        <w:rPr>
          <w:rFonts w:ascii="Times New Roman" w:hAnsi="Times New Roman" w:cs="Times New Roman"/>
          <w:sz w:val="24"/>
          <w:szCs w:val="24"/>
        </w:rPr>
        <w:t>Exhibit A – Chapter IV, Section 11 – Block Trades</w:t>
      </w:r>
    </w:p>
    <w:p w:rsidR="005952B4" w:rsidRDefault="005952B4" w:rsidP="0008423C">
      <w:pPr>
        <w:spacing w:after="0" w:line="240" w:lineRule="auto"/>
        <w:rPr>
          <w:rFonts w:ascii="Times New Roman" w:hAnsi="Times New Roman" w:cs="Times New Roman"/>
          <w:sz w:val="24"/>
          <w:szCs w:val="24"/>
        </w:rPr>
      </w:pPr>
    </w:p>
    <w:p w:rsidR="003F2714" w:rsidRPr="00E1206A" w:rsidRDefault="003F2714" w:rsidP="0008423C">
      <w:pPr>
        <w:spacing w:after="0" w:line="240" w:lineRule="auto"/>
        <w:rPr>
          <w:rFonts w:ascii="Times New Roman" w:hAnsi="Times New Roman" w:cs="Times New Roman"/>
          <w:sz w:val="24"/>
          <w:szCs w:val="24"/>
        </w:rPr>
      </w:pPr>
      <w:r>
        <w:rPr>
          <w:rFonts w:ascii="Times New Roman" w:hAnsi="Times New Roman" w:cs="Times New Roman"/>
          <w:sz w:val="24"/>
          <w:szCs w:val="24"/>
        </w:rPr>
        <w:t>Exhibit B:  NFX Off-Exchange Transactions Reference Guide</w:t>
      </w:r>
    </w:p>
    <w:p w:rsidR="0008423C" w:rsidRPr="00E1206A" w:rsidRDefault="0008423C" w:rsidP="0008423C">
      <w:pPr>
        <w:spacing w:after="0" w:line="240" w:lineRule="auto"/>
        <w:rPr>
          <w:rFonts w:ascii="Times New Roman" w:hAnsi="Times New Roman" w:cs="Times New Roman"/>
          <w:sz w:val="24"/>
          <w:szCs w:val="24"/>
        </w:rPr>
      </w:pPr>
    </w:p>
    <w:p w:rsidR="00D60246" w:rsidRPr="00E1206A" w:rsidRDefault="00D60246" w:rsidP="00D60246">
      <w:pPr>
        <w:spacing w:after="0" w:line="240" w:lineRule="auto"/>
        <w:rPr>
          <w:rFonts w:ascii="Times New Roman" w:hAnsi="Times New Roman" w:cs="Times New Roman"/>
          <w:sz w:val="24"/>
          <w:szCs w:val="24"/>
        </w:rPr>
      </w:pPr>
    </w:p>
    <w:p w:rsidR="00D60246" w:rsidRPr="00E1206A" w:rsidRDefault="00D60246" w:rsidP="00D60246">
      <w:pPr>
        <w:spacing w:after="0" w:line="240" w:lineRule="auto"/>
        <w:rPr>
          <w:rFonts w:ascii="Times New Roman" w:hAnsi="Times New Roman" w:cs="Times New Roman"/>
          <w:sz w:val="24"/>
          <w:szCs w:val="24"/>
        </w:rPr>
      </w:pPr>
    </w:p>
    <w:p w:rsidR="00D60246" w:rsidRPr="00E1206A" w:rsidRDefault="00D60246" w:rsidP="00D60246">
      <w:pPr>
        <w:spacing w:after="0" w:line="240" w:lineRule="auto"/>
        <w:rPr>
          <w:rFonts w:ascii="Times New Roman" w:hAnsi="Times New Roman" w:cs="Times New Roman"/>
          <w:sz w:val="24"/>
          <w:szCs w:val="24"/>
        </w:rPr>
      </w:pPr>
    </w:p>
    <w:p w:rsidR="00204EC5" w:rsidRPr="00E1206A" w:rsidRDefault="00204EC5">
      <w:pPr>
        <w:rPr>
          <w:rFonts w:ascii="Times New Roman" w:hAnsi="Times New Roman" w:cs="Times New Roman"/>
          <w:sz w:val="24"/>
          <w:szCs w:val="24"/>
        </w:rPr>
      </w:pPr>
    </w:p>
    <w:sectPr w:rsidR="00204EC5" w:rsidRPr="00E1206A" w:rsidSect="00E12802">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277" w:rsidRDefault="00715277" w:rsidP="0008423C">
      <w:pPr>
        <w:spacing w:after="0" w:line="240" w:lineRule="auto"/>
      </w:pPr>
      <w:r>
        <w:separator/>
      </w:r>
    </w:p>
  </w:endnote>
  <w:endnote w:type="continuationSeparator" w:id="0">
    <w:p w:rsidR="00715277" w:rsidRDefault="00715277" w:rsidP="0008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277" w:rsidRDefault="00715277" w:rsidP="0008423C">
      <w:pPr>
        <w:spacing w:after="0" w:line="240" w:lineRule="auto"/>
      </w:pPr>
      <w:r>
        <w:separator/>
      </w:r>
    </w:p>
  </w:footnote>
  <w:footnote w:type="continuationSeparator" w:id="0">
    <w:p w:rsidR="00715277" w:rsidRDefault="00715277" w:rsidP="0008423C">
      <w:pPr>
        <w:spacing w:after="0" w:line="240" w:lineRule="auto"/>
      </w:pPr>
      <w:r>
        <w:continuationSeparator/>
      </w:r>
    </w:p>
  </w:footnote>
  <w:footnote w:id="1">
    <w:p w:rsidR="00694F95" w:rsidRPr="00C7073A" w:rsidRDefault="00694F95" w:rsidP="00694F95">
      <w:pPr>
        <w:pStyle w:val="FootnoteText"/>
        <w:ind w:left="720" w:hanging="720"/>
        <w:rPr>
          <w:rFonts w:ascii="Times New Roman" w:hAnsi="Times New Roman" w:cs="Times New Roman"/>
        </w:rPr>
      </w:pPr>
      <w:r w:rsidRPr="00C7073A">
        <w:rPr>
          <w:rStyle w:val="FootnoteReference"/>
          <w:rFonts w:ascii="Times New Roman" w:hAnsi="Times New Roman" w:cs="Times New Roman"/>
        </w:rPr>
        <w:footnoteRef/>
      </w:r>
      <w:r w:rsidRPr="00C7073A">
        <w:rPr>
          <w:rFonts w:ascii="Times New Roman" w:hAnsi="Times New Roman" w:cs="Times New Roman"/>
        </w:rPr>
        <w:t xml:space="preserve"> </w:t>
      </w:r>
      <w:r w:rsidRPr="00C7073A">
        <w:rPr>
          <w:rFonts w:ascii="Times New Roman" w:hAnsi="Times New Roman" w:cs="Times New Roman"/>
        </w:rPr>
        <w:tab/>
        <w:t xml:space="preserve">The ECP definition covers various market participants, many of whom are either subject to the jurisdiction of a state or federal regulatory agency or have significant assets, are highly sophisticated in financial transactions and have significant financial resources.  </w:t>
      </w:r>
    </w:p>
  </w:footnote>
  <w:footnote w:id="2">
    <w:p w:rsidR="00C7073A" w:rsidRPr="00C7073A" w:rsidRDefault="00C7073A" w:rsidP="00C7073A">
      <w:pPr>
        <w:pStyle w:val="FootnoteText"/>
        <w:ind w:left="720" w:hanging="720"/>
        <w:rPr>
          <w:rFonts w:ascii="Times New Roman" w:hAnsi="Times New Roman" w:cs="Times New Roman"/>
        </w:rPr>
      </w:pPr>
      <w:r w:rsidRPr="00C7073A">
        <w:rPr>
          <w:rStyle w:val="FootnoteReference"/>
          <w:rFonts w:ascii="Times New Roman" w:hAnsi="Times New Roman" w:cs="Times New Roman"/>
        </w:rPr>
        <w:footnoteRef/>
      </w:r>
      <w:r w:rsidRPr="00C7073A">
        <w:rPr>
          <w:rFonts w:ascii="Times New Roman" w:hAnsi="Times New Roman" w:cs="Times New Roman"/>
        </w:rPr>
        <w:t xml:space="preserve"> </w:t>
      </w:r>
      <w:r w:rsidRPr="00C7073A">
        <w:rPr>
          <w:rFonts w:ascii="Times New Roman" w:hAnsi="Times New Roman" w:cs="Times New Roman"/>
        </w:rPr>
        <w:tab/>
      </w:r>
      <w:r>
        <w:rPr>
          <w:rFonts w:ascii="Times New Roman" w:hAnsi="Times New Roman" w:cs="Times New Roman"/>
        </w:rPr>
        <w:t xml:space="preserve">The portfolio requirements applicable to NFX QEPs </w:t>
      </w:r>
      <w:r w:rsidR="00391A5A">
        <w:rPr>
          <w:rFonts w:ascii="Times New Roman" w:hAnsi="Times New Roman" w:cs="Times New Roman"/>
        </w:rPr>
        <w:t xml:space="preserve">have </w:t>
      </w:r>
      <w:r>
        <w:rPr>
          <w:rFonts w:ascii="Times New Roman" w:hAnsi="Times New Roman" w:cs="Times New Roman"/>
        </w:rPr>
        <w:t>be</w:t>
      </w:r>
      <w:r w:rsidR="00391A5A">
        <w:rPr>
          <w:rFonts w:ascii="Times New Roman" w:hAnsi="Times New Roman" w:cs="Times New Roman"/>
        </w:rPr>
        <w:t>en</w:t>
      </w:r>
      <w:r>
        <w:rPr>
          <w:rFonts w:ascii="Times New Roman" w:hAnsi="Times New Roman" w:cs="Times New Roman"/>
        </w:rPr>
        <w:t xml:space="preserve"> modified </w:t>
      </w:r>
      <w:r w:rsidR="00391A5A">
        <w:rPr>
          <w:rFonts w:ascii="Times New Roman" w:hAnsi="Times New Roman" w:cs="Times New Roman"/>
        </w:rPr>
        <w:t>for context</w:t>
      </w:r>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802" w:rsidRPr="00B67098" w:rsidRDefault="00E12802" w:rsidP="00E12802">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B53FAF" w:rsidRDefault="00B53FAF"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337A91">
      <w:rPr>
        <w:rFonts w:ascii="Times New Roman" w:hAnsi="Times New Roman" w:cs="Times New Roman"/>
        <w:noProof/>
        <w:sz w:val="20"/>
        <w:szCs w:val="20"/>
      </w:rPr>
      <w:t>July 18, 2019</w:t>
    </w:r>
    <w:r>
      <w:rPr>
        <w:rFonts w:ascii="Times New Roman" w:hAnsi="Times New Roman" w:cs="Times New Roman"/>
        <w:sz w:val="20"/>
        <w:szCs w:val="20"/>
      </w:rPr>
      <w:fldChar w:fldCharType="end"/>
    </w:r>
  </w:p>
  <w:p w:rsidR="0082421C" w:rsidRPr="008567E4" w:rsidRDefault="0095411C"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E44EB5">
      <w:rPr>
        <w:rFonts w:ascii="Times New Roman" w:hAnsi="Times New Roman" w:cs="Times New Roman"/>
        <w:sz w:val="20"/>
        <w:szCs w:val="20"/>
      </w:rPr>
      <w:t>9</w:t>
    </w:r>
    <w:r w:rsidR="00E12802" w:rsidRPr="00C54BB6">
      <w:rPr>
        <w:rFonts w:ascii="Times New Roman" w:hAnsi="Times New Roman" w:cs="Times New Roman"/>
        <w:sz w:val="20"/>
        <w:szCs w:val="20"/>
      </w:rPr>
      <w:t>-</w:t>
    </w:r>
    <w:r w:rsidR="008567E4" w:rsidRPr="008567E4">
      <w:rPr>
        <w:rFonts w:ascii="Times New Roman" w:eastAsia="Calibri" w:hAnsi="Times New Roman" w:cs="Times New Roman"/>
        <w:sz w:val="20"/>
        <w:szCs w:val="20"/>
      </w:rPr>
      <w:t>27</w:t>
    </w:r>
  </w:p>
  <w:p w:rsidR="00E12802" w:rsidRPr="00B67098" w:rsidRDefault="00E12802" w:rsidP="00E12802">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C67400">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rsidR="0008423C" w:rsidRDefault="0008423C" w:rsidP="00FB3245">
    <w:pPr>
      <w:spacing w:before="120" w:after="0"/>
      <w:ind w:left="655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802" w:rsidRDefault="00C67400" w:rsidP="00C67400">
    <w:pPr>
      <w:pStyle w:val="Header"/>
      <w:tabs>
        <w:tab w:val="clear" w:pos="9360"/>
        <w:tab w:val="left" w:pos="8331"/>
      </w:tabs>
      <w:ind w:firstLine="6120"/>
    </w:pPr>
    <w:r>
      <w:tab/>
    </w:r>
  </w:p>
  <w:p w:rsidR="00C67400" w:rsidRDefault="00C67400" w:rsidP="00C67400">
    <w:pPr>
      <w:pStyle w:val="Header"/>
      <w:tabs>
        <w:tab w:val="clear" w:pos="9360"/>
        <w:tab w:val="left" w:pos="8331"/>
      </w:tabs>
      <w:ind w:firstLine="6120"/>
    </w:pPr>
  </w:p>
  <w:p w:rsidR="00C67400" w:rsidRDefault="00C67400" w:rsidP="00C67400">
    <w:pPr>
      <w:pStyle w:val="Header"/>
      <w:tabs>
        <w:tab w:val="clear" w:pos="9360"/>
        <w:tab w:val="left" w:pos="8331"/>
      </w:tabs>
      <w:ind w:firstLine="6120"/>
    </w:pPr>
  </w:p>
  <w:p w:rsidR="00C67400" w:rsidRPr="00151B94" w:rsidRDefault="00C67400" w:rsidP="00C67400">
    <w:pPr>
      <w:spacing w:after="0"/>
      <w:jc w:val="right"/>
      <w:rPr>
        <w:sz w:val="18"/>
        <w:szCs w:val="18"/>
      </w:rPr>
    </w:pPr>
    <w:r w:rsidRPr="000964D7">
      <w:rPr>
        <w:sz w:val="18"/>
        <w:szCs w:val="18"/>
      </w:rPr>
      <w:t>N</w:t>
    </w:r>
    <w:r w:rsidRPr="00151B94">
      <w:rPr>
        <w:sz w:val="18"/>
        <w:szCs w:val="18"/>
      </w:rPr>
      <w:t>asdaq Futures, Inc.</w:t>
    </w:r>
  </w:p>
  <w:p w:rsidR="00C67400" w:rsidRPr="00E1206A" w:rsidRDefault="00C67400" w:rsidP="00C67400">
    <w:pPr>
      <w:pStyle w:val="LetterheadAddress"/>
      <w:jc w:val="right"/>
      <w:rPr>
        <w:rFonts w:ascii="Times New Roman" w:eastAsia="Calibri" w:hAnsi="Times New Roman"/>
        <w:sz w:val="24"/>
        <w:szCs w:val="24"/>
      </w:rPr>
    </w:pPr>
    <w:r w:rsidRPr="00151B94">
      <w:rPr>
        <w:rFonts w:asciiTheme="minorHAnsi" w:hAnsiTheme="minorHAnsi"/>
      </w:rPr>
      <w:t xml:space="preserve">FMC Tower, Level 8, </w:t>
    </w:r>
  </w:p>
  <w:p w:rsidR="00C67400" w:rsidRDefault="00C67400" w:rsidP="00C67400">
    <w:pPr>
      <w:spacing w:after="0"/>
      <w:jc w:val="right"/>
    </w:pPr>
    <w:r w:rsidRPr="00B741AD">
      <w:rPr>
        <w:rFonts w:eastAsiaTheme="minorEastAsia" w:cs="Times New Roman"/>
        <w:sz w:val="18"/>
        <w:szCs w:val="18"/>
        <w:lang w:eastAsia="ja-JP"/>
      </w:rPr>
      <w:t>2929 Walnut Street</w:t>
    </w:r>
  </w:p>
  <w:p w:rsidR="00C67400" w:rsidRDefault="00C67400" w:rsidP="00C67400">
    <w:pPr>
      <w:spacing w:after="0"/>
      <w:jc w:val="right"/>
    </w:pPr>
    <w:r w:rsidRPr="00B741AD">
      <w:rPr>
        <w:rFonts w:eastAsiaTheme="minorEastAsia" w:cs="Times New Roman"/>
        <w:sz w:val="18"/>
        <w:szCs w:val="18"/>
        <w:lang w:eastAsia="ja-JP"/>
      </w:rPr>
      <w:t>Philadelphia, PA 19104 / USA</w:t>
    </w:r>
  </w:p>
  <w:p w:rsidR="00C67400" w:rsidRPr="00E1206A" w:rsidRDefault="00C67400" w:rsidP="00C67400">
    <w:pPr>
      <w:pStyle w:val="NoSpacing"/>
      <w:jc w:val="right"/>
      <w:rPr>
        <w:rFonts w:ascii="Times New Roman" w:eastAsia="Calibri" w:hAnsi="Times New Roman" w:cs="Times New Roman"/>
        <w:sz w:val="24"/>
        <w:szCs w:val="24"/>
      </w:rPr>
    </w:pPr>
    <w:r w:rsidRPr="00151B94">
      <w:rPr>
        <w:rFonts w:cs="Times New Roman"/>
        <w:sz w:val="18"/>
        <w:szCs w:val="18"/>
      </w:rPr>
      <w:t>business.nasdaq.com/futures</w:t>
    </w:r>
  </w:p>
  <w:p w:rsidR="00C67400" w:rsidRDefault="00C67400" w:rsidP="00C67400">
    <w:pPr>
      <w:pStyle w:val="Header"/>
      <w:tabs>
        <w:tab w:val="clear" w:pos="9360"/>
        <w:tab w:val="left" w:pos="8331"/>
      </w:tabs>
      <w:ind w:firstLine="6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1D2A"/>
    <w:multiLevelType w:val="hybridMultilevel"/>
    <w:tmpl w:val="3214A0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F7E7C97"/>
    <w:multiLevelType w:val="hybridMultilevel"/>
    <w:tmpl w:val="E2D21C04"/>
    <w:lvl w:ilvl="0" w:tplc="86ECA96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B3781F"/>
    <w:multiLevelType w:val="hybridMultilevel"/>
    <w:tmpl w:val="FE6E82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18"/>
    <w:rsid w:val="00010CB6"/>
    <w:rsid w:val="000422FA"/>
    <w:rsid w:val="0005777E"/>
    <w:rsid w:val="000719CA"/>
    <w:rsid w:val="0008423C"/>
    <w:rsid w:val="000B18FC"/>
    <w:rsid w:val="000B1DE6"/>
    <w:rsid w:val="000C481C"/>
    <w:rsid w:val="000D7E4D"/>
    <w:rsid w:val="000E033A"/>
    <w:rsid w:val="000E0E9F"/>
    <w:rsid w:val="000E26AE"/>
    <w:rsid w:val="000E415C"/>
    <w:rsid w:val="001139AD"/>
    <w:rsid w:val="0012529D"/>
    <w:rsid w:val="00154FD5"/>
    <w:rsid w:val="00171B73"/>
    <w:rsid w:val="00177C88"/>
    <w:rsid w:val="00177D9F"/>
    <w:rsid w:val="001F14B3"/>
    <w:rsid w:val="00204EC5"/>
    <w:rsid w:val="0024114E"/>
    <w:rsid w:val="00253701"/>
    <w:rsid w:val="00276519"/>
    <w:rsid w:val="002C0A34"/>
    <w:rsid w:val="002C4058"/>
    <w:rsid w:val="002E5EAA"/>
    <w:rsid w:val="003117DA"/>
    <w:rsid w:val="00317431"/>
    <w:rsid w:val="00317C2C"/>
    <w:rsid w:val="00333CAD"/>
    <w:rsid w:val="00334276"/>
    <w:rsid w:val="00334277"/>
    <w:rsid w:val="00337A91"/>
    <w:rsid w:val="0034644B"/>
    <w:rsid w:val="00352B60"/>
    <w:rsid w:val="00371885"/>
    <w:rsid w:val="003775E4"/>
    <w:rsid w:val="00391A5A"/>
    <w:rsid w:val="003B3479"/>
    <w:rsid w:val="003B4925"/>
    <w:rsid w:val="003B767E"/>
    <w:rsid w:val="003D40B8"/>
    <w:rsid w:val="003F2714"/>
    <w:rsid w:val="003F7996"/>
    <w:rsid w:val="004008C0"/>
    <w:rsid w:val="00446B95"/>
    <w:rsid w:val="00453970"/>
    <w:rsid w:val="004742AF"/>
    <w:rsid w:val="004871EA"/>
    <w:rsid w:val="004965FA"/>
    <w:rsid w:val="00496A58"/>
    <w:rsid w:val="004A53F9"/>
    <w:rsid w:val="004B0524"/>
    <w:rsid w:val="004B2F92"/>
    <w:rsid w:val="004D0CD8"/>
    <w:rsid w:val="004D7E5D"/>
    <w:rsid w:val="004F7D39"/>
    <w:rsid w:val="00500EC0"/>
    <w:rsid w:val="00543CA2"/>
    <w:rsid w:val="00550073"/>
    <w:rsid w:val="00563D1E"/>
    <w:rsid w:val="005952B4"/>
    <w:rsid w:val="005A08AE"/>
    <w:rsid w:val="005A730D"/>
    <w:rsid w:val="005B08D2"/>
    <w:rsid w:val="005B5E23"/>
    <w:rsid w:val="005C192D"/>
    <w:rsid w:val="005C4E09"/>
    <w:rsid w:val="005E3020"/>
    <w:rsid w:val="005F3337"/>
    <w:rsid w:val="00603D94"/>
    <w:rsid w:val="006132C3"/>
    <w:rsid w:val="00644A4D"/>
    <w:rsid w:val="00666FA0"/>
    <w:rsid w:val="0066706B"/>
    <w:rsid w:val="00682A97"/>
    <w:rsid w:val="00694F95"/>
    <w:rsid w:val="006A6C41"/>
    <w:rsid w:val="006B3A2F"/>
    <w:rsid w:val="006E7A2A"/>
    <w:rsid w:val="006F6E49"/>
    <w:rsid w:val="0070268F"/>
    <w:rsid w:val="00706BCC"/>
    <w:rsid w:val="007076E9"/>
    <w:rsid w:val="0071432D"/>
    <w:rsid w:val="00715277"/>
    <w:rsid w:val="007823D6"/>
    <w:rsid w:val="0079327D"/>
    <w:rsid w:val="007958C5"/>
    <w:rsid w:val="007B2E77"/>
    <w:rsid w:val="007C7601"/>
    <w:rsid w:val="007D3068"/>
    <w:rsid w:val="00821537"/>
    <w:rsid w:val="0082421C"/>
    <w:rsid w:val="008321A8"/>
    <w:rsid w:val="0083533B"/>
    <w:rsid w:val="00846BAF"/>
    <w:rsid w:val="008567E4"/>
    <w:rsid w:val="0088488E"/>
    <w:rsid w:val="00893E15"/>
    <w:rsid w:val="008B041F"/>
    <w:rsid w:val="008C3F5C"/>
    <w:rsid w:val="008E4FF7"/>
    <w:rsid w:val="009059B1"/>
    <w:rsid w:val="0095411C"/>
    <w:rsid w:val="0096726E"/>
    <w:rsid w:val="009A0041"/>
    <w:rsid w:val="009A70C0"/>
    <w:rsid w:val="009B1B92"/>
    <w:rsid w:val="009C0DDE"/>
    <w:rsid w:val="009D0582"/>
    <w:rsid w:val="00A53051"/>
    <w:rsid w:val="00A5669E"/>
    <w:rsid w:val="00A930C9"/>
    <w:rsid w:val="00AD7CB9"/>
    <w:rsid w:val="00AE777B"/>
    <w:rsid w:val="00B0234B"/>
    <w:rsid w:val="00B10067"/>
    <w:rsid w:val="00B156EB"/>
    <w:rsid w:val="00B435C2"/>
    <w:rsid w:val="00B53FAF"/>
    <w:rsid w:val="00B6532A"/>
    <w:rsid w:val="00B751FD"/>
    <w:rsid w:val="00B85AC4"/>
    <w:rsid w:val="00BE291B"/>
    <w:rsid w:val="00BF1DC9"/>
    <w:rsid w:val="00BF3AF0"/>
    <w:rsid w:val="00C21CE4"/>
    <w:rsid w:val="00C376C0"/>
    <w:rsid w:val="00C4068B"/>
    <w:rsid w:val="00C622E8"/>
    <w:rsid w:val="00C67400"/>
    <w:rsid w:val="00C7073A"/>
    <w:rsid w:val="00C815B3"/>
    <w:rsid w:val="00CA34AE"/>
    <w:rsid w:val="00CA52C3"/>
    <w:rsid w:val="00CA6E45"/>
    <w:rsid w:val="00CB53DA"/>
    <w:rsid w:val="00CB6793"/>
    <w:rsid w:val="00D0050D"/>
    <w:rsid w:val="00D208D4"/>
    <w:rsid w:val="00D327C6"/>
    <w:rsid w:val="00D32C9D"/>
    <w:rsid w:val="00D356C3"/>
    <w:rsid w:val="00D430DB"/>
    <w:rsid w:val="00D523C4"/>
    <w:rsid w:val="00D60246"/>
    <w:rsid w:val="00D6561E"/>
    <w:rsid w:val="00D70718"/>
    <w:rsid w:val="00D84895"/>
    <w:rsid w:val="00DD7600"/>
    <w:rsid w:val="00E1012C"/>
    <w:rsid w:val="00E1206A"/>
    <w:rsid w:val="00E12802"/>
    <w:rsid w:val="00E34482"/>
    <w:rsid w:val="00E44EB5"/>
    <w:rsid w:val="00E6737A"/>
    <w:rsid w:val="00E74C83"/>
    <w:rsid w:val="00E82F04"/>
    <w:rsid w:val="00E92629"/>
    <w:rsid w:val="00EC432B"/>
    <w:rsid w:val="00EE798D"/>
    <w:rsid w:val="00F02F13"/>
    <w:rsid w:val="00F20122"/>
    <w:rsid w:val="00F452FD"/>
    <w:rsid w:val="00F72946"/>
    <w:rsid w:val="00F80A1E"/>
    <w:rsid w:val="00F86B2E"/>
    <w:rsid w:val="00F9285C"/>
    <w:rsid w:val="00F93853"/>
    <w:rsid w:val="00FB3245"/>
    <w:rsid w:val="00FC72F8"/>
    <w:rsid w:val="00FD4462"/>
    <w:rsid w:val="00FF2F3A"/>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0D5865"/>
  <w15:chartTrackingRefBased/>
  <w15:docId w15:val="{FEB87398-7BF6-4E4C-8A9C-2A3B7E4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0718"/>
    <w:rPr>
      <w:color w:val="808080"/>
      <w:spacing w:val="0"/>
      <w:u w:val="single"/>
    </w:rPr>
  </w:style>
  <w:style w:type="character" w:styleId="FollowedHyperlink">
    <w:name w:val="FollowedHyperlink"/>
    <w:basedOn w:val="DefaultParagraphFont"/>
    <w:uiPriority w:val="99"/>
    <w:semiHidden/>
    <w:unhideWhenUsed/>
    <w:rsid w:val="00D70718"/>
    <w:rPr>
      <w:color w:val="954F72" w:themeColor="followedHyperlink"/>
      <w:u w:val="single"/>
    </w:rPr>
  </w:style>
  <w:style w:type="paragraph" w:styleId="NoSpacing">
    <w:name w:val="No Spacing"/>
    <w:uiPriority w:val="1"/>
    <w:qFormat/>
    <w:rsid w:val="0008423C"/>
    <w:pPr>
      <w:spacing w:after="0" w:line="240" w:lineRule="auto"/>
    </w:pPr>
  </w:style>
  <w:style w:type="paragraph" w:styleId="PlainText">
    <w:name w:val="Plain Text"/>
    <w:basedOn w:val="Normal"/>
    <w:link w:val="PlainTextChar"/>
    <w:uiPriority w:val="99"/>
    <w:rsid w:val="0008423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8423C"/>
    <w:rPr>
      <w:rFonts w:ascii="Calibri" w:hAnsi="Calibri" w:cs="Times New Roman"/>
    </w:rPr>
  </w:style>
  <w:style w:type="paragraph" w:styleId="FootnoteText">
    <w:name w:val="footnote text"/>
    <w:basedOn w:val="Normal"/>
    <w:link w:val="FootnoteTextChar"/>
    <w:rsid w:val="0008423C"/>
    <w:pPr>
      <w:spacing w:after="0" w:line="240" w:lineRule="auto"/>
    </w:pPr>
    <w:rPr>
      <w:sz w:val="20"/>
      <w:szCs w:val="20"/>
    </w:rPr>
  </w:style>
  <w:style w:type="character" w:customStyle="1" w:styleId="FootnoteTextChar">
    <w:name w:val="Footnote Text Char"/>
    <w:basedOn w:val="DefaultParagraphFont"/>
    <w:link w:val="FootnoteText"/>
    <w:rsid w:val="0008423C"/>
    <w:rPr>
      <w:sz w:val="20"/>
      <w:szCs w:val="20"/>
    </w:rPr>
  </w:style>
  <w:style w:type="character" w:styleId="FootnoteReference">
    <w:name w:val="footnote reference"/>
    <w:basedOn w:val="DefaultParagraphFont"/>
    <w:rsid w:val="0008423C"/>
    <w:rPr>
      <w:vertAlign w:val="superscript"/>
    </w:rPr>
  </w:style>
  <w:style w:type="paragraph" w:customStyle="1" w:styleId="Default">
    <w:name w:val="Default"/>
    <w:rsid w:val="00084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8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3C"/>
  </w:style>
  <w:style w:type="paragraph" w:styleId="Footer">
    <w:name w:val="footer"/>
    <w:basedOn w:val="Normal"/>
    <w:link w:val="FooterChar"/>
    <w:uiPriority w:val="99"/>
    <w:unhideWhenUsed/>
    <w:rsid w:val="0008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3C"/>
  </w:style>
  <w:style w:type="paragraph" w:customStyle="1" w:styleId="LetterheadAddress">
    <w:name w:val="Letterhead Address"/>
    <w:basedOn w:val="Normal"/>
    <w:qFormat/>
    <w:rsid w:val="0008423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18526">
      <w:bodyDiv w:val="1"/>
      <w:marLeft w:val="0"/>
      <w:marRight w:val="0"/>
      <w:marTop w:val="0"/>
      <w:marBottom w:val="0"/>
      <w:divBdr>
        <w:top w:val="none" w:sz="0" w:space="0" w:color="auto"/>
        <w:left w:val="none" w:sz="0" w:space="0" w:color="auto"/>
        <w:bottom w:val="none" w:sz="0" w:space="0" w:color="auto"/>
        <w:right w:val="none" w:sz="0" w:space="0" w:color="auto"/>
      </w:divBdr>
    </w:div>
    <w:div w:id="317655131">
      <w:bodyDiv w:val="1"/>
      <w:marLeft w:val="0"/>
      <w:marRight w:val="0"/>
      <w:marTop w:val="0"/>
      <w:marBottom w:val="0"/>
      <w:divBdr>
        <w:top w:val="none" w:sz="0" w:space="0" w:color="auto"/>
        <w:left w:val="none" w:sz="0" w:space="0" w:color="auto"/>
        <w:bottom w:val="none" w:sz="0" w:space="0" w:color="auto"/>
        <w:right w:val="none" w:sz="0" w:space="0" w:color="auto"/>
      </w:divBdr>
    </w:div>
    <w:div w:id="162434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nasdaq-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2a5f41d7-8d23-40c8-b36f-b7eac7950722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2019-07-18T21:50:46+00:00</Document_x0020_Date>
    <Document_x0020_No xmlns="4b47aac5-4c46-444f-8595-ce09b406fc61">50013</Document_x0020_No>
  </documentManagement>
</p:properti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42AE1E5-549E-435C-A1FE-DEDA0A41805C}">
  <ds:schemaRefs>
    <ds:schemaRef ds:uri="http://purl.org/dc/dcmitype/"/>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50887A16-02BA-41AB-8369-9AC58F8C0CE1}"/>
</file>

<file path=customXml/itemProps3.xml><?xml version="1.0" encoding="utf-8"?>
<ds:datastoreItem xmlns:ds="http://schemas.openxmlformats.org/officeDocument/2006/customXml" ds:itemID="{1ECBB18B-C3D8-488D-8064-5B7F71B957B8}">
  <ds:schemaRefs>
    <ds:schemaRef ds:uri="http://schemas.microsoft.com/sharepoint/v3/contenttype/forms"/>
  </ds:schemaRefs>
</ds:datastoreItem>
</file>

<file path=customXml/itemProps4.xml><?xml version="1.0" encoding="utf-8"?>
<ds:datastoreItem xmlns:ds="http://schemas.openxmlformats.org/officeDocument/2006/customXml" ds:itemID="{21307402-C0C3-4AC9-9136-8001272FC60F}">
  <ds:schemaRefs>
    <ds:schemaRef ds:uri="http://schemas.openxmlformats.org/officeDocument/2006/bibliography"/>
  </ds:schemaRefs>
</ds:datastoreItem>
</file>

<file path=customXml/itemProps5.xml><?xml version="1.0" encoding="utf-8"?>
<ds:datastoreItem xmlns:ds="http://schemas.openxmlformats.org/officeDocument/2006/customXml" ds:itemID="{382178D6-DE3D-4587-946B-13DB858C9966}"/>
</file>

<file path=docProps/app.xml><?xml version="1.0" encoding="utf-8"?>
<Properties xmlns="http://schemas.openxmlformats.org/officeDocument/2006/extended-properties" xmlns:vt="http://schemas.openxmlformats.org/officeDocument/2006/docPropsVTypes">
  <Template>Normal</Template>
  <TotalTime>414</TotalTime>
  <Pages>4</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subject/>
  <dc:creator>Aravind Menon</dc:creator>
  <cp:keywords/>
  <dc:description/>
  <cp:lastModifiedBy>Janet Chanchal</cp:lastModifiedBy>
  <cp:revision>32</cp:revision>
  <cp:lastPrinted>2019-07-17T19:04:00Z</cp:lastPrinted>
  <dcterms:created xsi:type="dcterms:W3CDTF">2019-07-17T01:11:00Z</dcterms:created>
  <dcterms:modified xsi:type="dcterms:W3CDTF">2019-07-18T21:38:00Z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\\cftc.gov\dfsbts\PRD\Portal\TempFileArchive\1a11dfcd-f709-4b32-a396-978a34e7938e\SR-NFX-2019-27.docx</vt:lpwstr>
  </property>
  <property fmtid="{D5CDD505-2E9C-101B-9397-08002B2CF9AE}" pid="4" name="Order">
    <vt:r8>589400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