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02F5D">
        <w:rPr>
          <w:rFonts w:ascii="Times New Roman" w:eastAsia="Calibri" w:hAnsi="Times New Roman" w:cs="Times New Roman"/>
          <w:noProof/>
          <w:sz w:val="24"/>
          <w:szCs w:val="24"/>
        </w:rPr>
        <w:t>May 2, 2019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  <w:proofErr w:type="gramEnd"/>
    </w:p>
    <w:p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08C0" w:rsidRPr="002D558A" w:rsidRDefault="004008C0" w:rsidP="00BE291B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995D64">
        <w:rPr>
          <w:rFonts w:ascii="Times New Roman" w:eastAsia="Calibri" w:hAnsi="Times New Roman" w:cs="Times New Roman"/>
          <w:b/>
          <w:sz w:val="24"/>
          <w:szCs w:val="24"/>
        </w:rPr>
        <w:t xml:space="preserve">Amending </w:t>
      </w:r>
      <w:r w:rsidR="00E02F5D">
        <w:rPr>
          <w:rFonts w:ascii="Times New Roman" w:eastAsia="Calibri" w:hAnsi="Times New Roman" w:cs="Times New Roman"/>
          <w:b/>
          <w:sz w:val="24"/>
          <w:szCs w:val="24"/>
        </w:rPr>
        <w:t>Block Trade Reporting Times</w:t>
      </w:r>
    </w:p>
    <w:p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="0095411C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BE291B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5D2A9E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E02F5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5E3020" w:rsidP="00D14EA5">
      <w:pPr>
        <w:pStyle w:val="NoSpacing"/>
        <w:ind w:firstLine="1310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E1206A">
        <w:rPr>
          <w:rFonts w:ascii="Times New Roman" w:hAnsi="Times New Roman" w:cs="Times New Roman"/>
          <w:sz w:val="24"/>
          <w:szCs w:val="24"/>
        </w:rPr>
        <w:t xml:space="preserve">40.6 </w:t>
      </w:r>
      <w:r w:rsidRPr="00E1206A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E1206A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D14EA5">
        <w:rPr>
          <w:rFonts w:ascii="Times New Roman" w:eastAsia="Calibri" w:hAnsi="Times New Roman" w:cs="Times New Roman"/>
          <w:sz w:val="24"/>
          <w:szCs w:val="24"/>
        </w:rPr>
        <w:t xml:space="preserve">amendments to </w:t>
      </w:r>
      <w:r w:rsidR="00E02F5D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="00F7387C">
        <w:rPr>
          <w:rFonts w:ascii="Times New Roman" w:eastAsia="Calibri" w:hAnsi="Times New Roman" w:cs="Times New Roman"/>
          <w:sz w:val="24"/>
          <w:szCs w:val="24"/>
        </w:rPr>
        <w:t>B</w:t>
      </w:r>
      <w:r w:rsidR="00E02F5D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="00F7387C">
        <w:rPr>
          <w:rFonts w:ascii="Times New Roman" w:eastAsia="Calibri" w:hAnsi="Times New Roman" w:cs="Times New Roman"/>
          <w:sz w:val="24"/>
          <w:szCs w:val="24"/>
        </w:rPr>
        <w:t>Trade</w:t>
      </w:r>
      <w:r w:rsidR="00E02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4E2">
        <w:rPr>
          <w:rFonts w:ascii="Times New Roman" w:eastAsia="Calibri" w:hAnsi="Times New Roman" w:cs="Times New Roman"/>
          <w:sz w:val="24"/>
          <w:szCs w:val="24"/>
        </w:rPr>
        <w:t>rule</w:t>
      </w:r>
      <w:r w:rsidR="00D14EA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E02F5D">
        <w:rPr>
          <w:rFonts w:ascii="Times New Roman" w:eastAsia="Calibri" w:hAnsi="Times New Roman" w:cs="Times New Roman"/>
          <w:sz w:val="24"/>
          <w:szCs w:val="24"/>
        </w:rPr>
        <w:t>The amendment</w:t>
      </w:r>
      <w:r w:rsidR="00D14EA5" w:rsidRPr="00E1206A">
        <w:rPr>
          <w:rFonts w:ascii="Times New Roman" w:eastAsia="Calibri" w:hAnsi="Times New Roman" w:cs="Times New Roman"/>
          <w:sz w:val="24"/>
          <w:szCs w:val="24"/>
        </w:rPr>
        <w:t xml:space="preserve"> proposed in this submission shall be effective on </w:t>
      </w:r>
      <w:r w:rsidR="00E02F5D">
        <w:rPr>
          <w:rFonts w:ascii="Times New Roman" w:eastAsia="Calibri" w:hAnsi="Times New Roman" w:cs="Times New Roman"/>
          <w:sz w:val="24"/>
          <w:szCs w:val="24"/>
        </w:rPr>
        <w:t>May 16</w:t>
      </w:r>
      <w:r w:rsidR="00D14EA5">
        <w:rPr>
          <w:rFonts w:ascii="Times New Roman" w:eastAsia="Calibri" w:hAnsi="Times New Roman" w:cs="Times New Roman"/>
          <w:sz w:val="24"/>
          <w:szCs w:val="24"/>
        </w:rPr>
        <w:t>, 2019</w:t>
      </w:r>
      <w:r w:rsidR="00154FD5" w:rsidRPr="00E1206A">
        <w:rPr>
          <w:rFonts w:ascii="Times New Roman" w:eastAsia="Calibri" w:hAnsi="Times New Roman" w:cs="Times New Roman"/>
          <w:sz w:val="24"/>
          <w:szCs w:val="24"/>
        </w:rPr>
        <w:t xml:space="preserve">, for trade date </w:t>
      </w:r>
      <w:r w:rsidR="00E02F5D">
        <w:rPr>
          <w:rFonts w:ascii="Times New Roman" w:eastAsia="Calibri" w:hAnsi="Times New Roman" w:cs="Times New Roman"/>
          <w:sz w:val="24"/>
          <w:szCs w:val="24"/>
        </w:rPr>
        <w:t>May 17</w:t>
      </w:r>
      <w:r w:rsidR="00D14EA5">
        <w:rPr>
          <w:rFonts w:ascii="Times New Roman" w:eastAsia="Calibri" w:hAnsi="Times New Roman" w:cs="Times New Roman"/>
          <w:sz w:val="24"/>
          <w:szCs w:val="24"/>
        </w:rPr>
        <w:t>, 2019</w:t>
      </w:r>
      <w:r w:rsidR="00154FD5" w:rsidRPr="00E1206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6317AA" w:rsidRDefault="00E02F5D" w:rsidP="00EA3EB4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Exhibit 1 - Amendments to Chapter IV, Section 11</w:t>
      </w:r>
    </w:p>
    <w:p w:rsidR="006317AA" w:rsidRDefault="006317AA" w:rsidP="006317AA">
      <w:pPr>
        <w:pStyle w:val="Default"/>
        <w:rPr>
          <w:bCs/>
          <w:color w:val="auto"/>
        </w:rPr>
      </w:pPr>
    </w:p>
    <w:p w:rsidR="00E02F5D" w:rsidRDefault="006317AA" w:rsidP="006317AA">
      <w:pPr>
        <w:pStyle w:val="Default"/>
        <w:rPr>
          <w:bCs/>
          <w:color w:val="auto"/>
        </w:rPr>
      </w:pPr>
      <w:r>
        <w:rPr>
          <w:bCs/>
          <w:color w:val="auto"/>
        </w:rPr>
        <w:tab/>
        <w:t xml:space="preserve">NFX is amending </w:t>
      </w:r>
      <w:r w:rsidR="00E02F5D">
        <w:rPr>
          <w:bCs/>
          <w:color w:val="auto"/>
        </w:rPr>
        <w:t xml:space="preserve">Chapter IV, Section 11 of the rulebook to reflect changes </w:t>
      </w:r>
      <w:r w:rsidR="00B03084">
        <w:rPr>
          <w:bCs/>
          <w:color w:val="auto"/>
        </w:rPr>
        <w:t xml:space="preserve">previously </w:t>
      </w:r>
      <w:r w:rsidR="00E02F5D">
        <w:rPr>
          <w:bCs/>
          <w:color w:val="auto"/>
        </w:rPr>
        <w:t xml:space="preserve">made to the Off-Exchange Transactions Reference Guide </w:t>
      </w:r>
      <w:r w:rsidR="00B03084">
        <w:rPr>
          <w:bCs/>
          <w:color w:val="auto"/>
        </w:rPr>
        <w:t xml:space="preserve">(“Reference Guide”) </w:t>
      </w:r>
      <w:r w:rsidR="00E02F5D">
        <w:rPr>
          <w:bCs/>
          <w:color w:val="auto"/>
        </w:rPr>
        <w:t>submitted to the Commission by rule certification on April 10, 2019.</w:t>
      </w:r>
      <w:r w:rsidR="00E02F5D">
        <w:rPr>
          <w:rStyle w:val="FootnoteReference"/>
          <w:bCs/>
          <w:color w:val="auto"/>
        </w:rPr>
        <w:footnoteReference w:id="1"/>
      </w:r>
      <w:r w:rsidR="00E02F5D">
        <w:rPr>
          <w:bCs/>
          <w:color w:val="auto"/>
        </w:rPr>
        <w:t xml:space="preserve">  </w:t>
      </w:r>
      <w:r w:rsidR="000C5B9E">
        <w:rPr>
          <w:bCs/>
          <w:color w:val="auto"/>
        </w:rPr>
        <w:t>Prior to th</w:t>
      </w:r>
      <w:r w:rsidR="00C234BB">
        <w:rPr>
          <w:bCs/>
          <w:color w:val="auto"/>
        </w:rPr>
        <w:t>at</w:t>
      </w:r>
      <w:r w:rsidR="000C5B9E">
        <w:rPr>
          <w:bCs/>
          <w:color w:val="auto"/>
        </w:rPr>
        <w:t xml:space="preserve"> rule change, the </w:t>
      </w:r>
      <w:r w:rsidR="000C5B9E">
        <w:t>Reference Guide advised</w:t>
      </w:r>
      <w:r w:rsidR="000C5B9E">
        <w:t xml:space="preserve"> that the “Exchange will promptly publish block trade information separately from the reports of trans</w:t>
      </w:r>
      <w:r w:rsidR="000C5B9E">
        <w:t>actions in the regular market”.</w:t>
      </w:r>
      <w:r w:rsidR="000C5B9E">
        <w:t xml:space="preserve"> </w:t>
      </w:r>
      <w:r w:rsidR="000C5B9E">
        <w:t xml:space="preserve"> </w:t>
      </w:r>
      <w:r w:rsidR="000C5B9E">
        <w:t xml:space="preserve">NFX </w:t>
      </w:r>
      <w:r w:rsidR="000C5B9E">
        <w:t xml:space="preserve">struck </w:t>
      </w:r>
      <w:r w:rsidR="000C5B9E">
        <w:t xml:space="preserve">the word “promptly” from the Reference Guide </w:t>
      </w:r>
      <w:r w:rsidR="00B03084">
        <w:t xml:space="preserve">as </w:t>
      </w:r>
      <w:r w:rsidR="000C5B9E">
        <w:t xml:space="preserve">block transactions in certain contracts </w:t>
      </w:r>
      <w:r w:rsidR="000C5B9E">
        <w:t xml:space="preserve">would </w:t>
      </w:r>
      <w:r w:rsidR="000C5B9E">
        <w:t>no</w:t>
      </w:r>
      <w:r w:rsidR="00F7387C">
        <w:t xml:space="preserve"> longer</w:t>
      </w:r>
      <w:r w:rsidR="000C5B9E">
        <w:t xml:space="preserve"> be disseminated to the public until shortly before the end of the Open Session during which the transaction took place. This longer dissemination period </w:t>
      </w:r>
      <w:r w:rsidR="000C5B9E">
        <w:t>wa</w:t>
      </w:r>
      <w:r w:rsidR="000C5B9E">
        <w:t>s implemented at the request of various market participants seek</w:t>
      </w:r>
      <w:r w:rsidR="000C5B9E">
        <w:t>ing</w:t>
      </w:r>
      <w:r w:rsidR="000C5B9E">
        <w:t xml:space="preserve"> the ability to hedge their positions prior to the marketplace being informed of any recent transaction. </w:t>
      </w:r>
      <w:r w:rsidR="000C5B9E">
        <w:t xml:space="preserve"> </w:t>
      </w:r>
      <w:r w:rsidR="000C5B9E">
        <w:t xml:space="preserve">A shorter dissemination period </w:t>
      </w:r>
      <w:r w:rsidR="00F7387C">
        <w:t xml:space="preserve">could </w:t>
      </w:r>
      <w:r w:rsidR="000C5B9E">
        <w:t>expose those market participants to increased costs once the broader marketplace is aware of the need for a hedging transaction</w:t>
      </w:r>
      <w:r w:rsidR="000C5B9E">
        <w:t xml:space="preserve">.  NFX is now amending the rulebook to </w:t>
      </w:r>
      <w:r w:rsidR="00B03084">
        <w:t xml:space="preserve">remove the term ‘promptly” and align the rulebook with the </w:t>
      </w:r>
      <w:r w:rsidR="00F7387C">
        <w:t xml:space="preserve">previously amended </w:t>
      </w:r>
      <w:r w:rsidR="00B03084">
        <w:t>Reference Guide</w:t>
      </w:r>
      <w:r w:rsidR="000C5B9E">
        <w:t xml:space="preserve">.  </w:t>
      </w:r>
    </w:p>
    <w:p w:rsidR="00F7387C" w:rsidRDefault="00F7387C" w:rsidP="0008423C">
      <w:pPr>
        <w:pStyle w:val="Default"/>
        <w:ind w:left="2620"/>
        <w:rPr>
          <w:b/>
          <w:bCs/>
          <w:color w:val="auto"/>
        </w:rPr>
      </w:pPr>
    </w:p>
    <w:p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DCM Core Principles </w:t>
      </w:r>
    </w:p>
    <w:p w:rsidR="0008423C" w:rsidRPr="00E1206A" w:rsidRDefault="0008423C" w:rsidP="0008423C">
      <w:pPr>
        <w:pStyle w:val="Default"/>
        <w:ind w:left="2620"/>
        <w:rPr>
          <w:color w:val="auto"/>
        </w:rPr>
      </w:pPr>
    </w:p>
    <w:p w:rsidR="005D4085" w:rsidRDefault="0008423C" w:rsidP="005D4085">
      <w:pPr>
        <w:pStyle w:val="Default"/>
        <w:ind w:firstLine="720"/>
        <w:rPr>
          <w:color w:val="auto"/>
        </w:rPr>
      </w:pPr>
      <w:r w:rsidRPr="00E1206A">
        <w:rPr>
          <w:color w:val="auto"/>
        </w:rPr>
        <w:t>The Exchange has reviewed the designated contract market core principles (“</w:t>
      </w:r>
      <w:r w:rsidRPr="00E1206A">
        <w:rPr>
          <w:color w:val="auto"/>
          <w:u w:val="single"/>
        </w:rPr>
        <w:t>Core Principles</w:t>
      </w:r>
      <w:r w:rsidRPr="00E1206A">
        <w:rPr>
          <w:color w:val="auto"/>
        </w:rPr>
        <w:t xml:space="preserve">”) as set forth in the Act in connection with the amendments presented herein. </w:t>
      </w:r>
      <w:r w:rsidR="003B3AF9">
        <w:rPr>
          <w:color w:val="auto"/>
        </w:rPr>
        <w:t xml:space="preserve"> Based on our review, the Exchange has determined that the changes meet the requirements of the Core Principles.  </w:t>
      </w:r>
    </w:p>
    <w:p w:rsidR="00F7387C" w:rsidRDefault="00F7387C" w:rsidP="005D4085">
      <w:pPr>
        <w:pStyle w:val="Default"/>
        <w:rPr>
          <w:color w:val="auto"/>
        </w:rPr>
      </w:pPr>
    </w:p>
    <w:p w:rsidR="0008423C" w:rsidRDefault="0008423C" w:rsidP="005D4085">
      <w:pPr>
        <w:pStyle w:val="Default"/>
        <w:rPr>
          <w:color w:val="auto"/>
        </w:rPr>
      </w:pPr>
      <w:r w:rsidRPr="00191546">
        <w:rPr>
          <w:color w:val="auto"/>
        </w:rPr>
        <w:lastRenderedPageBreak/>
        <w:t xml:space="preserve">Core Principle 7 </w:t>
      </w:r>
      <w:r w:rsidRPr="00E1206A">
        <w:rPr>
          <w:color w:val="auto"/>
        </w:rPr>
        <w:t>- Availability of General Information</w:t>
      </w:r>
      <w:r w:rsidR="005D4085">
        <w:rPr>
          <w:color w:val="auto"/>
        </w:rPr>
        <w:t xml:space="preserve">:  </w:t>
      </w:r>
      <w:r w:rsidR="00F7387C">
        <w:rPr>
          <w:color w:val="auto"/>
        </w:rPr>
        <w:t>The change</w:t>
      </w:r>
      <w:r w:rsidR="003B3AF9">
        <w:rPr>
          <w:color w:val="auto"/>
        </w:rPr>
        <w:t xml:space="preserve"> outlined in this certification will be posted in the Exchanges rulebook which may be found on its website:</w:t>
      </w:r>
      <w:r w:rsidR="003B3AF9" w:rsidRPr="003B3AF9">
        <w:rPr>
          <w:rStyle w:val="Hyperlink"/>
        </w:rPr>
        <w:t xml:space="preserve"> </w:t>
      </w:r>
      <w:hyperlink r:id="rId12" w:history="1">
        <w:r w:rsidR="003B3AF9" w:rsidRPr="00E1206A">
          <w:rPr>
            <w:rStyle w:val="Hyperlink"/>
          </w:rPr>
          <w:t>business.nasdaq.com/futures</w:t>
        </w:r>
      </w:hyperlink>
      <w:r w:rsidR="003B3AF9" w:rsidRPr="00E1206A">
        <w:rPr>
          <w:color w:val="auto"/>
        </w:rPr>
        <w:t>.</w:t>
      </w:r>
      <w:r w:rsidR="003B3AF9">
        <w:rPr>
          <w:color w:val="auto"/>
        </w:rPr>
        <w:t xml:space="preserve">  </w:t>
      </w:r>
    </w:p>
    <w:p w:rsidR="00191546" w:rsidRDefault="00191546" w:rsidP="005D4085">
      <w:pPr>
        <w:pStyle w:val="Default"/>
        <w:rPr>
          <w:color w:val="auto"/>
        </w:rPr>
      </w:pPr>
    </w:p>
    <w:p w:rsidR="00191546" w:rsidRDefault="00191546" w:rsidP="005D4085">
      <w:pPr>
        <w:pStyle w:val="Default"/>
        <w:rPr>
          <w:color w:val="auto"/>
        </w:rPr>
      </w:pPr>
      <w:r>
        <w:rPr>
          <w:color w:val="auto"/>
        </w:rPr>
        <w:t xml:space="preserve">Core Principle 8 – Daily Publication of Trading Information:  As discussed above, removal of the word “promptly” in the </w:t>
      </w:r>
      <w:r w:rsidR="00257A5C">
        <w:rPr>
          <w:color w:val="auto"/>
        </w:rPr>
        <w:t xml:space="preserve">Block Trade rule </w:t>
      </w:r>
      <w:r>
        <w:rPr>
          <w:color w:val="auto"/>
        </w:rPr>
        <w:t xml:space="preserve">will not implicate Core Principle 8 as trade information will continue to be published </w:t>
      </w:r>
      <w:r w:rsidR="00935BFD">
        <w:rPr>
          <w:color w:val="auto"/>
        </w:rPr>
        <w:t xml:space="preserve">by the Exchange </w:t>
      </w:r>
      <w:r>
        <w:rPr>
          <w:color w:val="auto"/>
        </w:rPr>
        <w:t xml:space="preserve">on a daily basis. </w:t>
      </w:r>
    </w:p>
    <w:p w:rsidR="0008423C" w:rsidRDefault="0008423C" w:rsidP="005D4085">
      <w:pPr>
        <w:pStyle w:val="Default"/>
        <w:rPr>
          <w:color w:val="auto"/>
        </w:rPr>
      </w:pPr>
    </w:p>
    <w:p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Certifications </w:t>
      </w:r>
    </w:p>
    <w:p w:rsidR="0008423C" w:rsidRPr="00E1206A" w:rsidRDefault="0008423C" w:rsidP="0008423C">
      <w:pPr>
        <w:pStyle w:val="Default"/>
        <w:ind w:left="2620"/>
        <w:rPr>
          <w:color w:val="auto"/>
        </w:rPr>
      </w:pPr>
    </w:p>
    <w:p w:rsidR="0008423C" w:rsidRPr="00E1206A" w:rsidRDefault="0008423C" w:rsidP="005D4085">
      <w:pPr>
        <w:pStyle w:val="PlainText"/>
        <w:ind w:firstLine="720"/>
        <w:rPr>
          <w:rFonts w:ascii="Times New Roman" w:eastAsia="Calibri" w:hAnsi="Times New Roman"/>
          <w:sz w:val="24"/>
          <w:szCs w:val="24"/>
        </w:rPr>
      </w:pPr>
      <w:r w:rsidRPr="00E1206A">
        <w:rPr>
          <w:rFonts w:ascii="Times New Roman" w:hAnsi="Times New Roman"/>
          <w:sz w:val="24"/>
          <w:szCs w:val="24"/>
        </w:rPr>
        <w:t xml:space="preserve">There were no opposing views among NFX’s Board of Directors, members or market participants. </w:t>
      </w:r>
      <w:r w:rsidR="00257A5C">
        <w:rPr>
          <w:rFonts w:ascii="Times New Roman" w:hAnsi="Times New Roman"/>
          <w:sz w:val="24"/>
          <w:szCs w:val="24"/>
        </w:rPr>
        <w:t xml:space="preserve"> </w:t>
      </w:r>
      <w:r w:rsidRPr="00E1206A">
        <w:rPr>
          <w:rFonts w:ascii="Times New Roman" w:hAnsi="Times New Roman"/>
          <w:sz w:val="24"/>
          <w:szCs w:val="24"/>
        </w:rPr>
        <w:t xml:space="preserve">The Exchange hereby certifies that the rule amendments set forth herein comply with the Act and the Commission’s regulations thereunder.  The Exchange also certifies that notice of pending certification and a copy of this submission have been concurrently posted on the Exchange’s website at </w:t>
      </w:r>
      <w:hyperlink r:id="rId13" w:history="1">
        <w:r w:rsidRPr="00E1206A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Pr="00E1206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DF1467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DF1467">
        <w:rPr>
          <w:rFonts w:ascii="Times New Roman" w:hAnsi="Times New Roman" w:cs="Times New Roman"/>
          <w:sz w:val="24"/>
          <w:szCs w:val="24"/>
        </w:rPr>
        <w:t>contact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F1467">
        <w:rPr>
          <w:rFonts w:ascii="Times New Roman" w:hAnsi="Times New Roman" w:cs="Times New Roman"/>
          <w:spacing w:val="-6"/>
          <w:sz w:val="24"/>
          <w:szCs w:val="24"/>
        </w:rPr>
        <w:t>Aravind</w:t>
      </w:r>
      <w:proofErr w:type="spellEnd"/>
      <w:r w:rsidRPr="00DF1467">
        <w:rPr>
          <w:rFonts w:ascii="Times New Roman" w:hAnsi="Times New Roman" w:cs="Times New Roman"/>
          <w:spacing w:val="-6"/>
          <w:sz w:val="24"/>
          <w:szCs w:val="24"/>
        </w:rPr>
        <w:t xml:space="preserve"> Menon at (301) 978-8416 </w:t>
      </w:r>
      <w:r w:rsidRPr="00DF1467">
        <w:rPr>
          <w:rFonts w:ascii="Times New Roman" w:hAnsi="Times New Roman" w:cs="Times New Roman"/>
          <w:sz w:val="24"/>
          <w:szCs w:val="24"/>
        </w:rPr>
        <w:t>or</w:t>
      </w:r>
      <w:r w:rsidRPr="00DF1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467">
        <w:rPr>
          <w:rFonts w:ascii="Times New Roman" w:hAnsi="Times New Roman" w:cs="Times New Roman"/>
          <w:sz w:val="24"/>
          <w:szCs w:val="24"/>
        </w:rPr>
        <w:t>aravind.menon@nasdaq.com</w:t>
      </w:r>
      <w:r w:rsidRPr="00DF1467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DF1467">
        <w:rPr>
          <w:rFonts w:ascii="Times New Roman" w:hAnsi="Times New Roman" w:cs="Times New Roman"/>
          <w:sz w:val="24"/>
          <w:szCs w:val="24"/>
        </w:rPr>
        <w:t>Please</w:t>
      </w:r>
      <w:r w:rsidRPr="00DF1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467">
        <w:rPr>
          <w:rFonts w:ascii="Times New Roman" w:hAnsi="Times New Roman" w:cs="Times New Roman"/>
          <w:sz w:val="24"/>
          <w:szCs w:val="24"/>
        </w:rPr>
        <w:t>refer to</w:t>
      </w:r>
      <w:r w:rsidRPr="00DF1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467">
        <w:rPr>
          <w:rFonts w:ascii="Times New Roman" w:hAnsi="Times New Roman" w:cs="Times New Roman"/>
          <w:sz w:val="24"/>
          <w:szCs w:val="24"/>
        </w:rPr>
        <w:t>SR-NFX-201</w:t>
      </w:r>
      <w:r w:rsidR="00DF1467" w:rsidRPr="00DF1467">
        <w:rPr>
          <w:rFonts w:ascii="Times New Roman" w:hAnsi="Times New Roman" w:cs="Times New Roman"/>
          <w:sz w:val="24"/>
          <w:szCs w:val="24"/>
        </w:rPr>
        <w:t>9</w:t>
      </w:r>
      <w:r w:rsidRPr="00E1206A">
        <w:rPr>
          <w:rFonts w:ascii="Times New Roman" w:hAnsi="Times New Roman" w:cs="Times New Roman"/>
          <w:sz w:val="24"/>
          <w:szCs w:val="24"/>
        </w:rPr>
        <w:t>-</w:t>
      </w:r>
      <w:r w:rsidR="005D2A9E">
        <w:rPr>
          <w:rFonts w:ascii="Times New Roman" w:hAnsi="Times New Roman" w:cs="Times New Roman"/>
          <w:sz w:val="24"/>
          <w:szCs w:val="24"/>
        </w:rPr>
        <w:t>2</w:t>
      </w:r>
      <w:r w:rsidR="00B03084">
        <w:rPr>
          <w:rFonts w:ascii="Times New Roman" w:hAnsi="Times New Roman" w:cs="Times New Roman"/>
          <w:sz w:val="24"/>
          <w:szCs w:val="24"/>
        </w:rPr>
        <w:t>1</w:t>
      </w:r>
      <w:r w:rsidR="005D2A9E">
        <w:rPr>
          <w:rFonts w:ascii="Times New Roman" w:hAnsi="Times New Roman" w:cs="Times New Roman"/>
          <w:sz w:val="24"/>
          <w:szCs w:val="24"/>
        </w:rPr>
        <w:t xml:space="preserve"> </w:t>
      </w:r>
      <w:r w:rsidRPr="00E1206A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F93853" w:rsidRPr="00E120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423C" w:rsidRPr="00E1206A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08423C" w:rsidRPr="00E1206A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0011A2" w:rsidRDefault="0095411C" w:rsidP="0095411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95411C" w:rsidRDefault="00474C09" w:rsidP="0095411C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09C41D3F" wp14:editId="43A2C258">
            <wp:extent cx="1550788" cy="657225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3C" w:rsidRDefault="00474C09" w:rsidP="0095411C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474C09" w:rsidRDefault="00474C09" w:rsidP="00474C09">
      <w:pPr>
        <w:pStyle w:val="NoSpacing"/>
        <w:ind w:left="2290" w:firstLine="13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08423C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5411C" w:rsidRPr="00E1206A" w:rsidRDefault="0095411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Default="0008423C" w:rsidP="00B0308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5A08A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D724D">
        <w:rPr>
          <w:rFonts w:ascii="Times New Roman" w:hAnsi="Times New Roman" w:cs="Times New Roman"/>
          <w:sz w:val="24"/>
          <w:szCs w:val="24"/>
        </w:rPr>
        <w:t>:</w:t>
      </w:r>
      <w:r w:rsidR="003D724D">
        <w:rPr>
          <w:rFonts w:ascii="Times New Roman" w:hAnsi="Times New Roman" w:cs="Times New Roman"/>
          <w:sz w:val="24"/>
          <w:szCs w:val="24"/>
        </w:rPr>
        <w:tab/>
        <w:t>A</w:t>
      </w:r>
      <w:r w:rsidRPr="00E1206A">
        <w:rPr>
          <w:rFonts w:ascii="Times New Roman" w:hAnsi="Times New Roman" w:cs="Times New Roman"/>
          <w:sz w:val="24"/>
          <w:szCs w:val="24"/>
        </w:rPr>
        <w:t xml:space="preserve">mendments to Rulebook </w:t>
      </w:r>
      <w:r w:rsidR="00B03084">
        <w:rPr>
          <w:rFonts w:ascii="Times New Roman" w:hAnsi="Times New Roman" w:cs="Times New Roman"/>
          <w:sz w:val="24"/>
          <w:szCs w:val="24"/>
        </w:rPr>
        <w:t>Chapter IV, Section 1</w:t>
      </w: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C5" w:rsidRPr="00E1206A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E1206A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6F" w:rsidRDefault="00A0156F" w:rsidP="0008423C">
      <w:pPr>
        <w:spacing w:after="0" w:line="240" w:lineRule="auto"/>
      </w:pPr>
      <w:r>
        <w:separator/>
      </w:r>
    </w:p>
  </w:endnote>
  <w:endnote w:type="continuationSeparator" w:id="0">
    <w:p w:rsidR="00A0156F" w:rsidRDefault="00A0156F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6F" w:rsidRDefault="00A0156F" w:rsidP="0008423C">
      <w:pPr>
        <w:spacing w:after="0" w:line="240" w:lineRule="auto"/>
      </w:pPr>
      <w:r>
        <w:separator/>
      </w:r>
    </w:p>
  </w:footnote>
  <w:footnote w:type="continuationSeparator" w:id="0">
    <w:p w:rsidR="00A0156F" w:rsidRDefault="00A0156F" w:rsidP="0008423C">
      <w:pPr>
        <w:spacing w:after="0" w:line="240" w:lineRule="auto"/>
      </w:pPr>
      <w:r>
        <w:continuationSeparator/>
      </w:r>
    </w:p>
  </w:footnote>
  <w:footnote w:id="1">
    <w:p w:rsidR="00E02F5D" w:rsidRPr="00C234BB" w:rsidRDefault="00E02F5D">
      <w:pPr>
        <w:pStyle w:val="FootnoteText"/>
        <w:rPr>
          <w:rFonts w:ascii="Times New Roman" w:hAnsi="Times New Roman" w:cs="Times New Roman"/>
        </w:rPr>
      </w:pPr>
      <w:r w:rsidRPr="00C234BB">
        <w:rPr>
          <w:rStyle w:val="FootnoteReference"/>
          <w:rFonts w:ascii="Times New Roman" w:hAnsi="Times New Roman" w:cs="Times New Roman"/>
        </w:rPr>
        <w:footnoteRef/>
      </w:r>
      <w:r w:rsidRPr="00C234BB">
        <w:rPr>
          <w:rFonts w:ascii="Times New Roman" w:hAnsi="Times New Roman" w:cs="Times New Roman"/>
        </w:rPr>
        <w:t xml:space="preserve"> </w:t>
      </w:r>
      <w:r w:rsidRPr="00C234BB">
        <w:rPr>
          <w:rFonts w:ascii="Times New Roman" w:hAnsi="Times New Roman" w:cs="Times New Roman"/>
        </w:rPr>
        <w:tab/>
        <w:t>See SR-NFX-2019-12, rule filing amending the Off-Exchange Transactions Reference Guide.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02F5D">
      <w:rPr>
        <w:rFonts w:ascii="Times New Roman" w:hAnsi="Times New Roman" w:cs="Times New Roman"/>
        <w:noProof/>
        <w:sz w:val="20"/>
        <w:szCs w:val="20"/>
      </w:rPr>
      <w:t>May 2, 2019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82421C" w:rsidRDefault="0095411C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</w:t>
    </w:r>
    <w:r w:rsidR="0093302B">
      <w:rPr>
        <w:rFonts w:ascii="Times New Roman" w:hAnsi="Times New Roman" w:cs="Times New Roman"/>
        <w:sz w:val="20"/>
        <w:szCs w:val="20"/>
      </w:rPr>
      <w:t>2019</w:t>
    </w:r>
    <w:r w:rsidR="00E12802" w:rsidRPr="00C54BB6">
      <w:rPr>
        <w:rFonts w:ascii="Times New Roman" w:hAnsi="Times New Roman" w:cs="Times New Roman"/>
        <w:sz w:val="20"/>
        <w:szCs w:val="20"/>
      </w:rPr>
      <w:t>-</w:t>
    </w:r>
    <w:r w:rsidR="00C234BB">
      <w:rPr>
        <w:rFonts w:ascii="Times New Roman" w:hAnsi="Times New Roman" w:cs="Times New Roman"/>
        <w:sz w:val="20"/>
        <w:szCs w:val="20"/>
      </w:rPr>
      <w:t>21</w:t>
    </w:r>
  </w:p>
  <w:p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257A5C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537C"/>
    <w:multiLevelType w:val="hybridMultilevel"/>
    <w:tmpl w:val="EBFA62F8"/>
    <w:lvl w:ilvl="0" w:tplc="218ECBF4">
      <w:start w:val="1"/>
      <w:numFmt w:val="bullet"/>
      <w:lvlText w:val=""/>
      <w:lvlJc w:val="left"/>
      <w:pPr>
        <w:ind w:left="16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10CB6"/>
    <w:rsid w:val="000565B8"/>
    <w:rsid w:val="0006690C"/>
    <w:rsid w:val="0008423C"/>
    <w:rsid w:val="000B0A72"/>
    <w:rsid w:val="000C5B9E"/>
    <w:rsid w:val="000E26AE"/>
    <w:rsid w:val="000E415C"/>
    <w:rsid w:val="0011768E"/>
    <w:rsid w:val="00123A3B"/>
    <w:rsid w:val="0012529D"/>
    <w:rsid w:val="00143C26"/>
    <w:rsid w:val="00154FD5"/>
    <w:rsid w:val="00161AB2"/>
    <w:rsid w:val="001710AA"/>
    <w:rsid w:val="00191546"/>
    <w:rsid w:val="00204EC5"/>
    <w:rsid w:val="00253701"/>
    <w:rsid w:val="00257A5C"/>
    <w:rsid w:val="00270284"/>
    <w:rsid w:val="002A734D"/>
    <w:rsid w:val="002C0A34"/>
    <w:rsid w:val="002C0FB3"/>
    <w:rsid w:val="002E3077"/>
    <w:rsid w:val="00317C2C"/>
    <w:rsid w:val="00325C2B"/>
    <w:rsid w:val="0034244F"/>
    <w:rsid w:val="003775E4"/>
    <w:rsid w:val="003B3AF9"/>
    <w:rsid w:val="003D40B8"/>
    <w:rsid w:val="003D724D"/>
    <w:rsid w:val="003F5F13"/>
    <w:rsid w:val="004008C0"/>
    <w:rsid w:val="00403D9A"/>
    <w:rsid w:val="00433B85"/>
    <w:rsid w:val="00474C09"/>
    <w:rsid w:val="004965FA"/>
    <w:rsid w:val="004A53F9"/>
    <w:rsid w:val="004B0524"/>
    <w:rsid w:val="004D683F"/>
    <w:rsid w:val="004D7E5D"/>
    <w:rsid w:val="004F147E"/>
    <w:rsid w:val="00543CA2"/>
    <w:rsid w:val="00581BC6"/>
    <w:rsid w:val="00594DC8"/>
    <w:rsid w:val="005A08AE"/>
    <w:rsid w:val="005D2A9E"/>
    <w:rsid w:val="005D4085"/>
    <w:rsid w:val="005E3020"/>
    <w:rsid w:val="005F3337"/>
    <w:rsid w:val="006317AA"/>
    <w:rsid w:val="00682A97"/>
    <w:rsid w:val="0069577B"/>
    <w:rsid w:val="006A79D0"/>
    <w:rsid w:val="006B3A2F"/>
    <w:rsid w:val="006E7A2A"/>
    <w:rsid w:val="007076E9"/>
    <w:rsid w:val="00756ECA"/>
    <w:rsid w:val="007958C5"/>
    <w:rsid w:val="007C7601"/>
    <w:rsid w:val="007E0783"/>
    <w:rsid w:val="00821537"/>
    <w:rsid w:val="00823DAF"/>
    <w:rsid w:val="0082421C"/>
    <w:rsid w:val="008321A8"/>
    <w:rsid w:val="0083533B"/>
    <w:rsid w:val="00846BAF"/>
    <w:rsid w:val="00864CEC"/>
    <w:rsid w:val="00883BA4"/>
    <w:rsid w:val="00893E15"/>
    <w:rsid w:val="008B041F"/>
    <w:rsid w:val="008C3F5C"/>
    <w:rsid w:val="0093302B"/>
    <w:rsid w:val="00935BFD"/>
    <w:rsid w:val="0095133E"/>
    <w:rsid w:val="0095411C"/>
    <w:rsid w:val="0096726E"/>
    <w:rsid w:val="00995D64"/>
    <w:rsid w:val="009A686A"/>
    <w:rsid w:val="009B58EB"/>
    <w:rsid w:val="009D0582"/>
    <w:rsid w:val="00A0123F"/>
    <w:rsid w:val="00A0156F"/>
    <w:rsid w:val="00A03D1E"/>
    <w:rsid w:val="00A10026"/>
    <w:rsid w:val="00A5669E"/>
    <w:rsid w:val="00A63BA2"/>
    <w:rsid w:val="00AB24E2"/>
    <w:rsid w:val="00AD7CB9"/>
    <w:rsid w:val="00B03084"/>
    <w:rsid w:val="00B10067"/>
    <w:rsid w:val="00B40073"/>
    <w:rsid w:val="00B53DD6"/>
    <w:rsid w:val="00B53FAF"/>
    <w:rsid w:val="00B6532A"/>
    <w:rsid w:val="00BE291B"/>
    <w:rsid w:val="00BF3AF0"/>
    <w:rsid w:val="00C21CE4"/>
    <w:rsid w:val="00C234BB"/>
    <w:rsid w:val="00C34D56"/>
    <w:rsid w:val="00C4068B"/>
    <w:rsid w:val="00C67CC4"/>
    <w:rsid w:val="00CA52C3"/>
    <w:rsid w:val="00CA6E45"/>
    <w:rsid w:val="00CB53DA"/>
    <w:rsid w:val="00D0050D"/>
    <w:rsid w:val="00D13786"/>
    <w:rsid w:val="00D14EA5"/>
    <w:rsid w:val="00D327C6"/>
    <w:rsid w:val="00D60246"/>
    <w:rsid w:val="00D6561E"/>
    <w:rsid w:val="00D70718"/>
    <w:rsid w:val="00D84895"/>
    <w:rsid w:val="00DA3C06"/>
    <w:rsid w:val="00DE2C1B"/>
    <w:rsid w:val="00DF1467"/>
    <w:rsid w:val="00DF5AFC"/>
    <w:rsid w:val="00E02F5D"/>
    <w:rsid w:val="00E1206A"/>
    <w:rsid w:val="00E12802"/>
    <w:rsid w:val="00E34482"/>
    <w:rsid w:val="00E74C83"/>
    <w:rsid w:val="00E96E63"/>
    <w:rsid w:val="00EA3EB4"/>
    <w:rsid w:val="00EC432B"/>
    <w:rsid w:val="00F02F13"/>
    <w:rsid w:val="00F20122"/>
    <w:rsid w:val="00F33D5A"/>
    <w:rsid w:val="00F452FD"/>
    <w:rsid w:val="00F7387C"/>
    <w:rsid w:val="00F86B2E"/>
    <w:rsid w:val="00F93853"/>
    <w:rsid w:val="00F97018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a37f5210-4093-4f1e-a45c-5d82332c414d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2019-05-02T20:55:28+00:00</Document_x0020_Date>
    <Document_x0020_No xmlns="4b47aac5-4c46-444f-8595-ce09b406fc61">47952</Document_x0020_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742AE1E5-549E-435C-A1FE-DEDA0A418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1EEF8-FEA6-401E-B9FB-3617161168B3}"/>
</file>

<file path=customXml/itemProps3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7436E-1E9B-41BB-93C8-A46633F05D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95ECC5-BDD4-4133-A8B3-F748B49E4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7</cp:revision>
  <dcterms:created xsi:type="dcterms:W3CDTF">2019-05-02T19:42:00Z</dcterms:created>
  <dcterms:modified xsi:type="dcterms:W3CDTF">2019-05-02T20:35:00Z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Locations\Portal\Temp\cdd6ca87-1b9e-4896-9b48-5e9d2b1f9b2a\SR-NFX-2019-21 Rule Certification.docx</vt:lpwstr>
  </property>
  <property fmtid="{D5CDD505-2E9C-101B-9397-08002B2CF9AE}" pid="4" name="Order">
    <vt:r8>192600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