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A" w:rsidRPr="00A2697D" w:rsidRDefault="0026070A" w:rsidP="0026070A">
      <w:pPr>
        <w:rPr>
          <w:b/>
        </w:rPr>
      </w:pPr>
      <w:bookmarkStart w:id="0" w:name="_GoBack"/>
      <w:bookmarkEnd w:id="0"/>
    </w:p>
    <w:p w:rsidR="0026070A" w:rsidRPr="00650B32" w:rsidRDefault="0026070A" w:rsidP="0026070A">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26070A" w:rsidRPr="00650B32" w:rsidRDefault="0026070A" w:rsidP="0026070A">
      <w:pPr>
        <w:pStyle w:val="NoSpacing"/>
        <w:rPr>
          <w:rFonts w:ascii="Times New Roman" w:eastAsia="Calibri" w:hAnsi="Times New Roman" w:cs="Times New Roman"/>
          <w:sz w:val="24"/>
          <w:szCs w:val="24"/>
          <w:u w:val="single"/>
        </w:rPr>
      </w:pPr>
    </w:p>
    <w:p w:rsidR="0035344B" w:rsidRDefault="00C07FB6" w:rsidP="0035344B">
      <w:r>
        <w:t>January 22, 2016</w:t>
      </w:r>
    </w:p>
    <w:p w:rsidR="0035344B" w:rsidRDefault="0035344B" w:rsidP="0035344B"/>
    <w:p w:rsidR="00D8222F" w:rsidRDefault="00D8222F" w:rsidP="0035344B">
      <w:pPr>
        <w:rPr>
          <w:u w:val="single"/>
        </w:rPr>
      </w:pPr>
      <w:r>
        <w:rPr>
          <w:u w:val="single"/>
        </w:rPr>
        <w:t>VIA ELECTRONIC PORTAL</w:t>
      </w:r>
    </w:p>
    <w:p w:rsidR="00D8222F" w:rsidRPr="00D8222F" w:rsidRDefault="00D8222F" w:rsidP="0035344B">
      <w:pPr>
        <w:rPr>
          <w:u w:val="single"/>
        </w:rPr>
      </w:pPr>
    </w:p>
    <w:p w:rsidR="00D8222F" w:rsidRDefault="00D8222F" w:rsidP="0035344B">
      <w:r>
        <w:t>Christopher J. Kirkpatrick</w:t>
      </w:r>
    </w:p>
    <w:p w:rsidR="0035344B" w:rsidRDefault="00D8222F" w:rsidP="0035344B">
      <w:r>
        <w:t>Office of the Secretariat</w:t>
      </w:r>
    </w:p>
    <w:p w:rsidR="0035344B" w:rsidRDefault="0035344B" w:rsidP="0035344B">
      <w:r>
        <w:t>Commodity Futures Trading Commission</w:t>
      </w:r>
    </w:p>
    <w:p w:rsidR="0035344B" w:rsidRDefault="0035344B" w:rsidP="0035344B">
      <w:r>
        <w:t xml:space="preserve">Three </w:t>
      </w:r>
      <w:smartTag w:uri="urn:schemas-microsoft-com:office:smarttags" w:element="place">
        <w:smartTag w:uri="urn:schemas-microsoft-com:office:smarttags" w:element="PlaceName">
          <w:r>
            <w:t>Lafayette</w:t>
          </w:r>
        </w:smartTag>
        <w:r>
          <w:t xml:space="preserve"> </w:t>
        </w:r>
        <w:smartTag w:uri="urn:schemas-microsoft-com:office:smarttags" w:element="PlaceType">
          <w:r>
            <w:t>Center</w:t>
          </w:r>
        </w:smartTag>
      </w:smartTag>
    </w:p>
    <w:p w:rsidR="0035344B" w:rsidRDefault="0035344B" w:rsidP="0035344B">
      <w:r>
        <w:t>1155 21</w:t>
      </w:r>
      <w:r>
        <w:rPr>
          <w:vertAlign w:val="superscript"/>
        </w:rPr>
        <w:t>st</w:t>
      </w:r>
      <w:r w:rsidR="00D8222F">
        <w:t xml:space="preserve"> Street</w:t>
      </w:r>
      <w:r>
        <w:t>, N.W.</w:t>
      </w:r>
    </w:p>
    <w:p w:rsidR="0035344B" w:rsidRDefault="0035344B" w:rsidP="0035344B">
      <w:pPr>
        <w:rPr>
          <w:sz w:val="20"/>
          <w:szCs w:val="20"/>
        </w:rP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20581</w:t>
          </w:r>
        </w:smartTag>
      </w:smartTag>
    </w:p>
    <w:p w:rsidR="0035344B" w:rsidRDefault="0035344B" w:rsidP="0035344B">
      <w:pPr>
        <w:pStyle w:val="NormalWeb"/>
        <w:spacing w:before="0" w:beforeAutospacing="0" w:after="0" w:afterAutospacing="0"/>
        <w:rPr>
          <w:rFonts w:ascii="Times New Roman" w:hAnsi="Times New Roman" w:cs="Times New Roman"/>
          <w:sz w:val="20"/>
          <w:szCs w:val="20"/>
        </w:rPr>
      </w:pPr>
    </w:p>
    <w:p w:rsidR="0035344B" w:rsidRPr="00D8222F" w:rsidRDefault="0035344B" w:rsidP="0035344B">
      <w:pPr>
        <w:ind w:firstLine="720"/>
        <w:rPr>
          <w:b/>
        </w:rPr>
      </w:pPr>
      <w:r>
        <w:t>Re:      </w:t>
      </w:r>
      <w:r w:rsidRPr="00D8222F">
        <w:rPr>
          <w:b/>
        </w:rPr>
        <w:t>Regulation §40.6 Submission Certification</w:t>
      </w:r>
    </w:p>
    <w:p w:rsidR="00015EA2" w:rsidRPr="007C1FE9" w:rsidRDefault="00E21454" w:rsidP="0035344B">
      <w:pPr>
        <w:ind w:left="720" w:firstLine="720"/>
        <w:rPr>
          <w:b/>
        </w:rPr>
      </w:pPr>
      <w:r w:rsidRPr="007C1FE9">
        <w:rPr>
          <w:b/>
        </w:rPr>
        <w:t>Energy Product Fees</w:t>
      </w:r>
    </w:p>
    <w:p w:rsidR="0035344B" w:rsidRPr="00D8222F" w:rsidRDefault="00015EA2" w:rsidP="0035344B">
      <w:pPr>
        <w:ind w:left="720" w:firstLine="720"/>
        <w:rPr>
          <w:b/>
          <w:u w:val="single"/>
        </w:rPr>
      </w:pPr>
      <w:r>
        <w:rPr>
          <w:b/>
          <w:u w:val="single"/>
        </w:rPr>
        <w:t>Reference File: SR-NFX-201</w:t>
      </w:r>
      <w:r w:rsidR="00C07FB6">
        <w:rPr>
          <w:b/>
          <w:u w:val="single"/>
        </w:rPr>
        <w:t>6</w:t>
      </w:r>
      <w:r w:rsidR="003D21E4">
        <w:rPr>
          <w:b/>
          <w:u w:val="single"/>
        </w:rPr>
        <w:t>-</w:t>
      </w:r>
      <w:r w:rsidR="00416D49">
        <w:rPr>
          <w:b/>
          <w:u w:val="single"/>
        </w:rPr>
        <w:t>09</w:t>
      </w:r>
    </w:p>
    <w:p w:rsidR="0035344B" w:rsidRDefault="0035344B" w:rsidP="0035344B">
      <w:pPr>
        <w:ind w:left="720" w:firstLine="720"/>
      </w:pPr>
    </w:p>
    <w:p w:rsidR="0035344B" w:rsidRDefault="00D8222F" w:rsidP="0035344B">
      <w:r>
        <w:t>Dear Mr. Kirkpatrick</w:t>
      </w:r>
      <w:r w:rsidR="0035344B">
        <w:t>:</w:t>
      </w:r>
    </w:p>
    <w:p w:rsidR="0035344B" w:rsidRDefault="0035344B" w:rsidP="0035344B"/>
    <w:p w:rsidR="00F84AB2" w:rsidRDefault="0035344B" w:rsidP="00DF2991">
      <w:pPr>
        <w:pStyle w:val="NoSpacing"/>
        <w:ind w:firstLine="720"/>
        <w:jc w:val="both"/>
        <w:rPr>
          <w:rFonts w:ascii="Times New Roman" w:eastAsia="Calibri" w:hAnsi="Times New Roman" w:cs="Times New Roman"/>
          <w:sz w:val="24"/>
          <w:szCs w:val="24"/>
        </w:rPr>
      </w:pPr>
      <w:r w:rsidRPr="00722839">
        <w:rPr>
          <w:rFonts w:ascii="Times New Roman" w:eastAsia="Times New Roman" w:hAnsi="Times New Roman" w:cs="Times New Roman"/>
          <w:sz w:val="24"/>
          <w:szCs w:val="24"/>
        </w:rPr>
        <w:t>Pursuant to Section 5c(c)(1) of the Commodity Exchange Act, as amended (“</w:t>
      </w:r>
      <w:r w:rsidRPr="00370191">
        <w:rPr>
          <w:rFonts w:ascii="Times New Roman" w:eastAsia="Times New Roman" w:hAnsi="Times New Roman" w:cs="Times New Roman"/>
          <w:sz w:val="24"/>
          <w:szCs w:val="24"/>
          <w:u w:val="single"/>
        </w:rPr>
        <w:t>Act</w:t>
      </w:r>
      <w:r w:rsidRPr="00722839">
        <w:rPr>
          <w:rFonts w:ascii="Times New Roman" w:eastAsia="Times New Roman" w:hAnsi="Times New Roman" w:cs="Times New Roman"/>
          <w:sz w:val="24"/>
          <w:szCs w:val="24"/>
        </w:rPr>
        <w:t>”), and Section 40.6</w:t>
      </w:r>
      <w:r w:rsidR="00CF2E16">
        <w:rPr>
          <w:rFonts w:ascii="Times New Roman" w:eastAsia="Times New Roman" w:hAnsi="Times New Roman" w:cs="Times New Roman"/>
          <w:sz w:val="24"/>
          <w:szCs w:val="24"/>
        </w:rPr>
        <w:t>(a)</w:t>
      </w:r>
      <w:r w:rsidRPr="00722839">
        <w:rPr>
          <w:rFonts w:ascii="Times New Roman" w:eastAsia="Times New Roman" w:hAnsi="Times New Roman" w:cs="Times New Roman"/>
          <w:sz w:val="24"/>
          <w:szCs w:val="24"/>
        </w:rPr>
        <w:t xml:space="preserve"> of the</w:t>
      </w:r>
      <w:r w:rsidR="00A050ED">
        <w:rPr>
          <w:rFonts w:ascii="Times New Roman" w:eastAsia="Times New Roman" w:hAnsi="Times New Roman" w:cs="Times New Roman"/>
          <w:sz w:val="24"/>
          <w:szCs w:val="24"/>
        </w:rPr>
        <w:t xml:space="preserve"> Commission’s regulations thereunder</w:t>
      </w:r>
      <w:r w:rsidR="00287050" w:rsidRPr="00722839">
        <w:rPr>
          <w:rFonts w:ascii="Times New Roman" w:eastAsia="Times New Roman" w:hAnsi="Times New Roman" w:cs="Times New Roman"/>
          <w:sz w:val="24"/>
          <w:szCs w:val="24"/>
        </w:rPr>
        <w:t xml:space="preserve">, NASDAQ </w:t>
      </w:r>
      <w:r w:rsidRPr="00722839">
        <w:rPr>
          <w:rFonts w:ascii="Times New Roman" w:eastAsia="Times New Roman" w:hAnsi="Times New Roman" w:cs="Times New Roman"/>
          <w:sz w:val="24"/>
          <w:szCs w:val="24"/>
        </w:rPr>
        <w:t>Futures, Inc. (“</w:t>
      </w:r>
      <w:r w:rsidR="00370191" w:rsidRPr="00370191">
        <w:rPr>
          <w:rFonts w:ascii="Times New Roman" w:eastAsia="Times New Roman" w:hAnsi="Times New Roman" w:cs="Times New Roman"/>
          <w:sz w:val="24"/>
          <w:szCs w:val="24"/>
          <w:u w:val="single"/>
        </w:rPr>
        <w:t>NFX</w:t>
      </w:r>
      <w:r w:rsidRPr="00722839">
        <w:rPr>
          <w:rFonts w:ascii="Times New Roman" w:eastAsia="Times New Roman" w:hAnsi="Times New Roman" w:cs="Times New Roman"/>
          <w:sz w:val="24"/>
          <w:szCs w:val="24"/>
        </w:rPr>
        <w:t>”</w:t>
      </w:r>
      <w:r w:rsidR="005D6A53">
        <w:rPr>
          <w:rFonts w:ascii="Times New Roman" w:eastAsia="Times New Roman" w:hAnsi="Times New Roman" w:cs="Times New Roman"/>
          <w:sz w:val="24"/>
          <w:szCs w:val="24"/>
        </w:rPr>
        <w:t xml:space="preserve"> or “</w:t>
      </w:r>
      <w:r w:rsidR="00370191" w:rsidRPr="00370191">
        <w:rPr>
          <w:rFonts w:ascii="Times New Roman" w:eastAsia="Times New Roman" w:hAnsi="Times New Roman" w:cs="Times New Roman"/>
          <w:sz w:val="24"/>
          <w:szCs w:val="24"/>
          <w:u w:val="single"/>
        </w:rPr>
        <w:t>Exchange</w:t>
      </w:r>
      <w:r w:rsidR="005D6A53">
        <w:rPr>
          <w:rFonts w:ascii="Times New Roman" w:eastAsia="Times New Roman" w:hAnsi="Times New Roman" w:cs="Times New Roman"/>
          <w:sz w:val="24"/>
          <w:szCs w:val="24"/>
        </w:rPr>
        <w:t>”</w:t>
      </w:r>
      <w:r w:rsidRPr="00722839">
        <w:rPr>
          <w:rFonts w:ascii="Times New Roman" w:eastAsia="Times New Roman" w:hAnsi="Times New Roman" w:cs="Times New Roman"/>
          <w:sz w:val="24"/>
          <w:szCs w:val="24"/>
        </w:rPr>
        <w:t>) sub</w:t>
      </w:r>
      <w:r w:rsidR="00857230">
        <w:rPr>
          <w:rFonts w:ascii="Times New Roman" w:eastAsia="Times New Roman" w:hAnsi="Times New Roman" w:cs="Times New Roman"/>
          <w:sz w:val="24"/>
          <w:szCs w:val="24"/>
        </w:rPr>
        <w:t xml:space="preserve">mits this self-certification to </w:t>
      </w:r>
      <w:r w:rsidR="00985E5A">
        <w:rPr>
          <w:rFonts w:ascii="Times New Roman" w:eastAsia="Times New Roman" w:hAnsi="Times New Roman" w:cs="Times New Roman"/>
          <w:sz w:val="24"/>
          <w:szCs w:val="24"/>
        </w:rPr>
        <w:t xml:space="preserve">amend </w:t>
      </w:r>
      <w:r w:rsidR="00DF2991">
        <w:rPr>
          <w:rFonts w:ascii="Times New Roman" w:eastAsia="Times New Roman" w:hAnsi="Times New Roman" w:cs="Times New Roman"/>
          <w:sz w:val="24"/>
          <w:szCs w:val="24"/>
        </w:rPr>
        <w:t>the NASDAQ Futures</w:t>
      </w:r>
      <w:r w:rsidR="00985E5A">
        <w:rPr>
          <w:rFonts w:ascii="Times New Roman" w:eastAsia="Times New Roman" w:hAnsi="Times New Roman" w:cs="Times New Roman"/>
          <w:sz w:val="24"/>
          <w:szCs w:val="24"/>
        </w:rPr>
        <w:t xml:space="preserve"> Fee Schedule</w:t>
      </w:r>
      <w:r w:rsidR="00A050ED">
        <w:rPr>
          <w:rFonts w:ascii="Times New Roman" w:eastAsia="Times New Roman" w:hAnsi="Times New Roman" w:cs="Times New Roman"/>
          <w:sz w:val="24"/>
          <w:szCs w:val="24"/>
        </w:rPr>
        <w:t xml:space="preserve"> as it relates to </w:t>
      </w:r>
      <w:r w:rsidR="00857230">
        <w:rPr>
          <w:rFonts w:ascii="Times New Roman" w:eastAsia="Times New Roman" w:hAnsi="Times New Roman" w:cs="Times New Roman"/>
          <w:sz w:val="24"/>
          <w:szCs w:val="24"/>
        </w:rPr>
        <w:t xml:space="preserve">fees </w:t>
      </w:r>
      <w:r w:rsidR="00137502">
        <w:rPr>
          <w:rFonts w:ascii="Times New Roman" w:eastAsia="Times New Roman" w:hAnsi="Times New Roman" w:cs="Times New Roman"/>
          <w:sz w:val="24"/>
          <w:szCs w:val="24"/>
        </w:rPr>
        <w:t xml:space="preserve">to include the </w:t>
      </w:r>
      <w:r w:rsidR="002172F1">
        <w:rPr>
          <w:rFonts w:ascii="Times New Roman" w:eastAsia="Times New Roman" w:hAnsi="Times New Roman" w:cs="Times New Roman"/>
          <w:sz w:val="24"/>
          <w:szCs w:val="24"/>
        </w:rPr>
        <w:t>f</w:t>
      </w:r>
      <w:r w:rsidR="00C07FB6">
        <w:rPr>
          <w:rFonts w:ascii="Times New Roman" w:eastAsia="Times New Roman" w:hAnsi="Times New Roman" w:cs="Times New Roman"/>
          <w:sz w:val="24"/>
          <w:szCs w:val="24"/>
        </w:rPr>
        <w:t>ifteen</w:t>
      </w:r>
      <w:r w:rsidR="00137502">
        <w:rPr>
          <w:rFonts w:ascii="Times New Roman" w:eastAsia="Times New Roman" w:hAnsi="Times New Roman" w:cs="Times New Roman"/>
          <w:sz w:val="24"/>
          <w:szCs w:val="24"/>
        </w:rPr>
        <w:t xml:space="preserve"> </w:t>
      </w:r>
      <w:r w:rsidR="00137502">
        <w:rPr>
          <w:rFonts w:ascii="Times New Roman" w:eastAsia="Calibri" w:hAnsi="Times New Roman" w:cs="Times New Roman"/>
          <w:sz w:val="24"/>
          <w:szCs w:val="24"/>
        </w:rPr>
        <w:t xml:space="preserve">financially settled </w:t>
      </w:r>
      <w:r w:rsidR="004C1269">
        <w:rPr>
          <w:rFonts w:ascii="Times New Roman" w:eastAsia="Calibri" w:hAnsi="Times New Roman" w:cs="Times New Roman"/>
          <w:sz w:val="24"/>
          <w:szCs w:val="24"/>
        </w:rPr>
        <w:t xml:space="preserve">energy </w:t>
      </w:r>
      <w:r w:rsidR="00137502">
        <w:rPr>
          <w:rFonts w:ascii="Times New Roman" w:eastAsia="Calibri" w:hAnsi="Times New Roman" w:cs="Times New Roman"/>
          <w:sz w:val="24"/>
          <w:szCs w:val="24"/>
        </w:rPr>
        <w:t xml:space="preserve">futures products </w:t>
      </w:r>
      <w:r w:rsidR="007902B8">
        <w:rPr>
          <w:rFonts w:ascii="Times New Roman" w:eastAsia="Calibri" w:hAnsi="Times New Roman" w:cs="Times New Roman"/>
          <w:sz w:val="24"/>
          <w:szCs w:val="24"/>
        </w:rPr>
        <w:t>filed under filing SR-NFX-201</w:t>
      </w:r>
      <w:r w:rsidR="00C07FB6">
        <w:rPr>
          <w:rFonts w:ascii="Times New Roman" w:eastAsia="Calibri" w:hAnsi="Times New Roman" w:cs="Times New Roman"/>
          <w:sz w:val="24"/>
          <w:szCs w:val="24"/>
        </w:rPr>
        <w:t>6</w:t>
      </w:r>
      <w:r w:rsidR="007902B8">
        <w:rPr>
          <w:rFonts w:ascii="Times New Roman" w:eastAsia="Calibri" w:hAnsi="Times New Roman" w:cs="Times New Roman"/>
          <w:sz w:val="24"/>
          <w:szCs w:val="24"/>
        </w:rPr>
        <w:t>-</w:t>
      </w:r>
      <w:r w:rsidR="00C07FB6">
        <w:rPr>
          <w:rFonts w:ascii="Times New Roman" w:eastAsia="Calibri" w:hAnsi="Times New Roman" w:cs="Times New Roman"/>
          <w:sz w:val="24"/>
          <w:szCs w:val="24"/>
        </w:rPr>
        <w:t>0</w:t>
      </w:r>
      <w:r w:rsidR="00C30952">
        <w:rPr>
          <w:rFonts w:ascii="Times New Roman" w:eastAsia="Calibri" w:hAnsi="Times New Roman" w:cs="Times New Roman"/>
          <w:sz w:val="24"/>
          <w:szCs w:val="24"/>
        </w:rPr>
        <w:t xml:space="preserve">7 </w:t>
      </w:r>
      <w:r w:rsidR="00137502">
        <w:rPr>
          <w:rFonts w:ascii="Times New Roman" w:eastAsia="Calibri" w:hAnsi="Times New Roman" w:cs="Times New Roman"/>
          <w:sz w:val="24"/>
          <w:szCs w:val="24"/>
        </w:rPr>
        <w:t>(</w:t>
      </w:r>
      <w:r w:rsidR="004C1269">
        <w:rPr>
          <w:rFonts w:ascii="Times New Roman" w:eastAsia="Calibri" w:hAnsi="Times New Roman" w:cs="Times New Roman"/>
          <w:sz w:val="24"/>
          <w:szCs w:val="24"/>
        </w:rPr>
        <w:t>the “</w:t>
      </w:r>
      <w:r w:rsidR="004C1269" w:rsidRPr="004C1269">
        <w:rPr>
          <w:rFonts w:ascii="Times New Roman" w:eastAsia="Calibri" w:hAnsi="Times New Roman" w:cs="Times New Roman"/>
          <w:sz w:val="24"/>
          <w:szCs w:val="24"/>
          <w:u w:val="single"/>
        </w:rPr>
        <w:t>New Contracts</w:t>
      </w:r>
      <w:r w:rsidR="004C1269">
        <w:rPr>
          <w:rFonts w:ascii="Times New Roman" w:eastAsia="Calibri" w:hAnsi="Times New Roman" w:cs="Times New Roman"/>
          <w:sz w:val="24"/>
          <w:szCs w:val="24"/>
        </w:rPr>
        <w:t xml:space="preserve">”, and </w:t>
      </w:r>
      <w:r w:rsidR="00137502">
        <w:rPr>
          <w:rFonts w:ascii="Times New Roman" w:eastAsia="Calibri" w:hAnsi="Times New Roman" w:cs="Times New Roman"/>
          <w:sz w:val="24"/>
          <w:szCs w:val="24"/>
        </w:rPr>
        <w:t>collectively</w:t>
      </w:r>
      <w:r w:rsidR="007902B8">
        <w:rPr>
          <w:rFonts w:ascii="Times New Roman" w:eastAsia="Calibri" w:hAnsi="Times New Roman" w:cs="Times New Roman"/>
          <w:sz w:val="24"/>
          <w:szCs w:val="24"/>
        </w:rPr>
        <w:t xml:space="preserve"> with the </w:t>
      </w:r>
      <w:r w:rsidR="00C07FB6">
        <w:rPr>
          <w:rFonts w:ascii="Times New Roman" w:eastAsia="Calibri" w:hAnsi="Times New Roman" w:cs="Times New Roman"/>
          <w:sz w:val="24"/>
          <w:szCs w:val="24"/>
        </w:rPr>
        <w:t>other listed</w:t>
      </w:r>
      <w:r w:rsidR="007902B8">
        <w:rPr>
          <w:rFonts w:ascii="Times New Roman" w:eastAsia="Calibri" w:hAnsi="Times New Roman" w:cs="Times New Roman"/>
          <w:sz w:val="24"/>
          <w:szCs w:val="24"/>
        </w:rPr>
        <w:t xml:space="preserve"> energy futures and futures options products,</w:t>
      </w:r>
      <w:r w:rsidR="00137502">
        <w:rPr>
          <w:rFonts w:ascii="Times New Roman" w:eastAsia="Calibri" w:hAnsi="Times New Roman" w:cs="Times New Roman"/>
          <w:sz w:val="24"/>
          <w:szCs w:val="24"/>
        </w:rPr>
        <w:t xml:space="preserve"> the “</w:t>
      </w:r>
      <w:r w:rsidR="007902B8" w:rsidRPr="00C30952">
        <w:rPr>
          <w:rFonts w:ascii="Times New Roman" w:eastAsia="Calibri" w:hAnsi="Times New Roman" w:cs="Times New Roman"/>
          <w:sz w:val="24"/>
          <w:szCs w:val="24"/>
          <w:u w:val="single"/>
        </w:rPr>
        <w:t>Energy</w:t>
      </w:r>
      <w:r w:rsidR="00137502" w:rsidRPr="00C30952">
        <w:rPr>
          <w:rFonts w:ascii="Times New Roman" w:eastAsia="Calibri" w:hAnsi="Times New Roman" w:cs="Times New Roman"/>
          <w:sz w:val="24"/>
          <w:szCs w:val="24"/>
          <w:u w:val="single"/>
        </w:rPr>
        <w:t xml:space="preserve"> </w:t>
      </w:r>
      <w:r w:rsidR="007902B8" w:rsidRPr="00C30952">
        <w:rPr>
          <w:rFonts w:ascii="Times New Roman" w:eastAsia="Calibri" w:hAnsi="Times New Roman" w:cs="Times New Roman"/>
          <w:sz w:val="24"/>
          <w:szCs w:val="24"/>
          <w:u w:val="single"/>
        </w:rPr>
        <w:t>Products</w:t>
      </w:r>
      <w:r w:rsidR="00137502">
        <w:rPr>
          <w:rFonts w:ascii="Times New Roman" w:eastAsia="Calibri" w:hAnsi="Times New Roman" w:cs="Times New Roman"/>
          <w:sz w:val="24"/>
          <w:szCs w:val="24"/>
        </w:rPr>
        <w:t>”)</w:t>
      </w:r>
      <w:r w:rsidR="00A050ED">
        <w:rPr>
          <w:rFonts w:ascii="Times New Roman" w:eastAsia="Times New Roman" w:hAnsi="Times New Roman" w:cs="Times New Roman"/>
          <w:sz w:val="24"/>
          <w:szCs w:val="24"/>
        </w:rPr>
        <w:t>.</w:t>
      </w:r>
      <w:r w:rsidR="00FE15F5">
        <w:rPr>
          <w:rFonts w:ascii="Times New Roman" w:eastAsia="Times New Roman" w:hAnsi="Times New Roman" w:cs="Times New Roman"/>
          <w:sz w:val="24"/>
          <w:szCs w:val="24"/>
        </w:rPr>
        <w:t xml:space="preserve"> </w:t>
      </w:r>
      <w:r w:rsidR="00EC56D1">
        <w:rPr>
          <w:rFonts w:ascii="Times New Roman" w:eastAsia="Times New Roman" w:hAnsi="Times New Roman" w:cs="Times New Roman"/>
          <w:sz w:val="24"/>
          <w:szCs w:val="24"/>
        </w:rPr>
        <w:t xml:space="preserve"> </w:t>
      </w:r>
      <w:r w:rsidR="00DF2991" w:rsidRPr="00B855EE">
        <w:rPr>
          <w:rFonts w:ascii="Times New Roman" w:eastAsia="Calibri" w:hAnsi="Times New Roman" w:cs="Times New Roman"/>
          <w:sz w:val="24"/>
          <w:szCs w:val="24"/>
        </w:rPr>
        <w:t xml:space="preserve">The amendments to </w:t>
      </w:r>
      <w:r w:rsidR="00CA759B">
        <w:rPr>
          <w:rFonts w:ascii="Times New Roman" w:eastAsia="Calibri" w:hAnsi="Times New Roman" w:cs="Times New Roman"/>
          <w:sz w:val="24"/>
          <w:szCs w:val="24"/>
        </w:rPr>
        <w:t>the current</w:t>
      </w:r>
      <w:r w:rsidR="00DF2991" w:rsidRPr="00B855EE">
        <w:rPr>
          <w:rFonts w:ascii="Times New Roman" w:eastAsia="Calibri" w:hAnsi="Times New Roman" w:cs="Times New Roman"/>
          <w:sz w:val="24"/>
          <w:szCs w:val="24"/>
        </w:rPr>
        <w:t xml:space="preserve"> </w:t>
      </w:r>
      <w:r w:rsidR="00DF2991">
        <w:rPr>
          <w:rFonts w:ascii="Times New Roman" w:eastAsia="Calibri" w:hAnsi="Times New Roman" w:cs="Times New Roman"/>
          <w:sz w:val="24"/>
          <w:szCs w:val="24"/>
        </w:rPr>
        <w:t xml:space="preserve">NASDAQ Futures </w:t>
      </w:r>
      <w:r w:rsidR="00DF2991" w:rsidRPr="00B855EE">
        <w:rPr>
          <w:rFonts w:ascii="Times New Roman" w:eastAsia="Calibri" w:hAnsi="Times New Roman" w:cs="Times New Roman"/>
          <w:sz w:val="24"/>
          <w:szCs w:val="24"/>
        </w:rPr>
        <w:t xml:space="preserve">Fee Schedule </w:t>
      </w:r>
      <w:r w:rsidR="00DF2991">
        <w:rPr>
          <w:rFonts w:ascii="Times New Roman" w:eastAsia="Calibri" w:hAnsi="Times New Roman" w:cs="Times New Roman"/>
          <w:sz w:val="24"/>
          <w:szCs w:val="24"/>
        </w:rPr>
        <w:t>are</w:t>
      </w:r>
      <w:r w:rsidR="00DF2991" w:rsidRPr="00B855EE">
        <w:rPr>
          <w:rFonts w:ascii="Times New Roman" w:eastAsia="Calibri" w:hAnsi="Times New Roman" w:cs="Times New Roman"/>
          <w:sz w:val="24"/>
          <w:szCs w:val="24"/>
        </w:rPr>
        <w:t xml:space="preserve"> set forth in </w:t>
      </w:r>
      <w:r w:rsidR="00DF2991" w:rsidRPr="00BB4F4A">
        <w:rPr>
          <w:rFonts w:ascii="Times New Roman" w:eastAsia="Calibri" w:hAnsi="Times New Roman" w:cs="Times New Roman"/>
          <w:sz w:val="24"/>
          <w:szCs w:val="24"/>
          <w:u w:val="single"/>
        </w:rPr>
        <w:t>Exhibit A</w:t>
      </w:r>
      <w:r w:rsidR="00DF2991" w:rsidRPr="00B855EE">
        <w:rPr>
          <w:rFonts w:ascii="Times New Roman" w:eastAsia="Calibri" w:hAnsi="Times New Roman" w:cs="Times New Roman"/>
          <w:sz w:val="24"/>
          <w:szCs w:val="24"/>
        </w:rPr>
        <w:t>.</w:t>
      </w:r>
      <w:r w:rsidR="00F84AB2">
        <w:rPr>
          <w:rFonts w:ascii="Times New Roman" w:eastAsia="Calibri" w:hAnsi="Times New Roman" w:cs="Times New Roman"/>
          <w:sz w:val="24"/>
          <w:szCs w:val="24"/>
        </w:rPr>
        <w:t xml:space="preserve">  </w:t>
      </w:r>
      <w:r w:rsidR="002C1BE0" w:rsidRPr="002C1BE0">
        <w:rPr>
          <w:rFonts w:ascii="Times New Roman" w:eastAsia="Calibri" w:hAnsi="Times New Roman" w:cs="Times New Roman"/>
          <w:sz w:val="24"/>
          <w:szCs w:val="24"/>
        </w:rPr>
        <w:t xml:space="preserve">Subject to the Commission’s regulatory review period, this rule change for the </w:t>
      </w:r>
      <w:r w:rsidR="002C1BE0">
        <w:rPr>
          <w:rFonts w:ascii="Times New Roman" w:eastAsia="Calibri" w:hAnsi="Times New Roman" w:cs="Times New Roman"/>
          <w:sz w:val="24"/>
          <w:szCs w:val="24"/>
        </w:rPr>
        <w:t xml:space="preserve">new </w:t>
      </w:r>
      <w:r w:rsidR="002C1BE0" w:rsidRPr="002C1BE0">
        <w:rPr>
          <w:rFonts w:ascii="Times New Roman" w:eastAsia="Calibri" w:hAnsi="Times New Roman" w:cs="Times New Roman"/>
          <w:sz w:val="24"/>
          <w:szCs w:val="24"/>
        </w:rPr>
        <w:t xml:space="preserve">contracts will be implemented on </w:t>
      </w:r>
      <w:r w:rsidR="00C07FB6">
        <w:rPr>
          <w:rFonts w:ascii="Times New Roman" w:eastAsia="Calibri" w:hAnsi="Times New Roman" w:cs="Times New Roman"/>
          <w:sz w:val="24"/>
          <w:szCs w:val="24"/>
        </w:rPr>
        <w:t>February 8</w:t>
      </w:r>
      <w:r w:rsidR="002C1BE0" w:rsidRPr="002C1BE0">
        <w:rPr>
          <w:rFonts w:ascii="Times New Roman" w:eastAsia="Calibri" w:hAnsi="Times New Roman" w:cs="Times New Roman"/>
          <w:sz w:val="24"/>
          <w:szCs w:val="24"/>
        </w:rPr>
        <w:t>, 201</w:t>
      </w:r>
      <w:r w:rsidR="00C07FB6">
        <w:rPr>
          <w:rFonts w:ascii="Times New Roman" w:eastAsia="Calibri" w:hAnsi="Times New Roman" w:cs="Times New Roman"/>
          <w:sz w:val="24"/>
          <w:szCs w:val="24"/>
        </w:rPr>
        <w:t>6</w:t>
      </w:r>
      <w:r w:rsidR="00CA759B">
        <w:rPr>
          <w:rFonts w:ascii="Times New Roman" w:eastAsia="Calibri" w:hAnsi="Times New Roman" w:cs="Times New Roman"/>
          <w:sz w:val="24"/>
          <w:szCs w:val="24"/>
        </w:rPr>
        <w:t>.</w:t>
      </w:r>
    </w:p>
    <w:p w:rsidR="00CB61E2" w:rsidRDefault="00CB61E2" w:rsidP="00CD4291">
      <w:pPr>
        <w:jc w:val="both"/>
        <w:rPr>
          <w:rFonts w:eastAsia="Calibri"/>
        </w:rPr>
      </w:pPr>
    </w:p>
    <w:p w:rsidR="00CB61E2" w:rsidRPr="00CD4291" w:rsidRDefault="001F0055" w:rsidP="00CD4291">
      <w:pPr>
        <w:ind w:firstLine="720"/>
        <w:jc w:val="both"/>
      </w:pPr>
      <w:r>
        <w:rPr>
          <w:rFonts w:eastAsia="Calibri"/>
        </w:rPr>
        <w:t xml:space="preserve">The amendments set forth in </w:t>
      </w:r>
      <w:r w:rsidRPr="00BB4F4A">
        <w:rPr>
          <w:rFonts w:eastAsia="Calibri"/>
          <w:u w:val="single"/>
        </w:rPr>
        <w:t>Exhibit A</w:t>
      </w:r>
      <w:r>
        <w:rPr>
          <w:rFonts w:eastAsia="Calibri"/>
        </w:rPr>
        <w:t xml:space="preserve"> </w:t>
      </w:r>
      <w:r w:rsidR="004C1269">
        <w:rPr>
          <w:rFonts w:eastAsia="Calibri"/>
        </w:rPr>
        <w:t xml:space="preserve">confirm that </w:t>
      </w:r>
      <w:r w:rsidR="00450DB2">
        <w:rPr>
          <w:rFonts w:eastAsia="Calibri"/>
        </w:rPr>
        <w:t xml:space="preserve">the Exchange will assess no transaction charges with respect to the </w:t>
      </w:r>
      <w:r w:rsidR="004C1269">
        <w:rPr>
          <w:rFonts w:eastAsia="Calibri"/>
        </w:rPr>
        <w:t>New Contracts or the Energy Products</w:t>
      </w:r>
      <w:r w:rsidR="00C30952">
        <w:rPr>
          <w:rFonts w:eastAsia="Calibri"/>
        </w:rPr>
        <w:t xml:space="preserve"> </w:t>
      </w:r>
      <w:r w:rsidR="00450DB2">
        <w:rPr>
          <w:rFonts w:eastAsia="Calibri"/>
        </w:rPr>
        <w:t xml:space="preserve">until May 1, 2016.  </w:t>
      </w:r>
      <w:r w:rsidR="00CB61E2">
        <w:rPr>
          <w:rFonts w:eastAsia="Calibri"/>
        </w:rPr>
        <w:t>T</w:t>
      </w:r>
      <w:r w:rsidR="00450DB2">
        <w:rPr>
          <w:rFonts w:eastAsia="Calibri"/>
        </w:rPr>
        <w:t xml:space="preserve">he Exchange </w:t>
      </w:r>
      <w:r w:rsidR="00CB61E2">
        <w:rPr>
          <w:rFonts w:eastAsia="Calibri"/>
        </w:rPr>
        <w:t xml:space="preserve">plans to announce revised fees </w:t>
      </w:r>
      <w:r w:rsidR="00AF214E">
        <w:rPr>
          <w:rFonts w:eastAsia="Calibri"/>
        </w:rPr>
        <w:t>prior to May 1, 2016</w:t>
      </w:r>
      <w:r w:rsidR="00450DB2">
        <w:rPr>
          <w:rFonts w:eastAsia="Calibri"/>
        </w:rPr>
        <w:t xml:space="preserve">.  </w:t>
      </w:r>
      <w:r w:rsidR="00CB61E2" w:rsidRPr="00B855EE">
        <w:t xml:space="preserve">The fees will apply to trades entered into the Exchange’s Order Book and off-exchange transactions (Block or Exchange for Related Position).  </w:t>
      </w:r>
      <w:r w:rsidR="00CB61E2" w:rsidRPr="00737A74">
        <w:t>The Exchange will assess these fees by billing Futures Participants.</w:t>
      </w:r>
    </w:p>
    <w:p w:rsidR="0035344B" w:rsidRPr="00B855EE" w:rsidRDefault="0035344B" w:rsidP="00DF2991">
      <w:pPr>
        <w:pStyle w:val="NoSpacing"/>
        <w:ind w:firstLine="720"/>
        <w:jc w:val="both"/>
        <w:rPr>
          <w:rFonts w:ascii="Times New Roman" w:eastAsia="Calibri" w:hAnsi="Times New Roman" w:cs="Times New Roman"/>
          <w:sz w:val="24"/>
          <w:szCs w:val="24"/>
        </w:rPr>
      </w:pPr>
    </w:p>
    <w:p w:rsidR="00CB61E2" w:rsidRDefault="00CB61E2" w:rsidP="00CD4291">
      <w:pPr>
        <w:ind w:firstLine="720"/>
        <w:jc w:val="both"/>
      </w:pPr>
      <w:r>
        <w:t xml:space="preserve">The Exchange believes that the amendments to the Fee Schedule are consistent with Core Principles 2 (Compliance with Rules) and 7 (Availability of General Information) under Section 5 of the Act because the fees are equitable and do not unfairly discriminate as between Futures Participants and persons with trading privileges.  With respect to compliance with Core Principle 2, the Exchange’s Rule at Chapter III, Section 24, entitled “General Trading Standards and Prohibited Practices” prohibits abusive trading practices.  The Exchange </w:t>
      </w:r>
      <w:r w:rsidRPr="0019134B">
        <w:t xml:space="preserve">provides real-time surveillance for activity on the Exchange to maintain an orderly marketplace and level playing </w:t>
      </w:r>
      <w:r w:rsidRPr="0019134B">
        <w:lastRenderedPageBreak/>
        <w:t xml:space="preserve">field for investors, market participants and listed companies.  </w:t>
      </w:r>
      <w:r>
        <w:t>The Exchange monitors for compliance with Exchange R</w:t>
      </w:r>
      <w:r w:rsidRPr="0019134B">
        <w:t>ules and policies through real-time surveillance of price and volume information reported by market</w:t>
      </w:r>
      <w:r>
        <w:t xml:space="preserve"> participants in O</w:t>
      </w:r>
      <w:r w:rsidRPr="0019134B">
        <w:t>pt</w:t>
      </w:r>
      <w:r>
        <w:t xml:space="preserve">ions and Futures transactions.  With respect to compliance with Core Principle 7, the fees will be set forth in a clear and transparent manner on the Exchange’s Fee Schedule, which is publically available on the Exchange’s website.  </w:t>
      </w:r>
    </w:p>
    <w:p w:rsidR="00CB61E2" w:rsidRDefault="00CB61E2" w:rsidP="00CD4291">
      <w:pPr>
        <w:ind w:firstLine="720"/>
        <w:jc w:val="both"/>
      </w:pPr>
    </w:p>
    <w:p w:rsidR="00CB61E2" w:rsidRDefault="00CB61E2" w:rsidP="00CD4291">
      <w:pPr>
        <w:ind w:firstLine="720"/>
        <w:jc w:val="both"/>
      </w:pPr>
      <w:r>
        <w:t xml:space="preserve">Further, with respect to the </w:t>
      </w:r>
      <w:r w:rsidRPr="00722839">
        <w:t xml:space="preserve">fees related to </w:t>
      </w:r>
      <w:r w:rsidR="00913ED4">
        <w:t>the New Contracts</w:t>
      </w:r>
      <w:r>
        <w:t xml:space="preserve">, all market participants will continue to be granted equal access to the Exchange.  The transaction fees for the Energy Products will be comparable for all types of market participants, regardless of whether the market participant is a Futures Participant or Authorized Customer granted Direct Access as provided in Chapter V, Section 4.  All market participants will be assessed the same transaction fees for Energy Products regardless of the method selected for executing an Order.  </w:t>
      </w:r>
    </w:p>
    <w:p w:rsidR="004B04C6" w:rsidRDefault="004B04C6" w:rsidP="008A7601">
      <w:pPr>
        <w:jc w:val="both"/>
        <w:rPr>
          <w:color w:val="000000"/>
        </w:rPr>
      </w:pPr>
    </w:p>
    <w:p w:rsidR="00CA759B" w:rsidRPr="00DF2991" w:rsidRDefault="0035344B" w:rsidP="00CA759B">
      <w:pPr>
        <w:pStyle w:val="PlainText"/>
        <w:ind w:firstLine="720"/>
        <w:rPr>
          <w:rStyle w:val="Hyperlink"/>
          <w:rFonts w:ascii="Times New Roman" w:eastAsia="Times New Roman" w:hAnsi="Times New Roman"/>
          <w:color w:val="auto"/>
          <w:sz w:val="24"/>
          <w:szCs w:val="24"/>
          <w:u w:val="none"/>
        </w:rPr>
      </w:pPr>
      <w:r w:rsidRPr="00370191">
        <w:rPr>
          <w:rFonts w:ascii="Times New Roman" w:eastAsia="Times New Roman" w:hAnsi="Times New Roman"/>
          <w:sz w:val="24"/>
          <w:szCs w:val="24"/>
        </w:rPr>
        <w:t xml:space="preserve">There </w:t>
      </w:r>
      <w:r w:rsidR="003F14C0" w:rsidRPr="00370191">
        <w:rPr>
          <w:rFonts w:ascii="Times New Roman" w:eastAsia="Times New Roman" w:hAnsi="Times New Roman"/>
          <w:sz w:val="24"/>
          <w:szCs w:val="24"/>
        </w:rPr>
        <w:t>were no opposing views among the Exchange</w:t>
      </w:r>
      <w:r w:rsidRPr="00370191">
        <w:rPr>
          <w:rFonts w:ascii="Times New Roman" w:eastAsia="Times New Roman" w:hAnsi="Times New Roman"/>
          <w:sz w:val="24"/>
          <w:szCs w:val="24"/>
        </w:rPr>
        <w:t>’s Board of Directors, memb</w:t>
      </w:r>
      <w:r w:rsidR="00287050" w:rsidRPr="00370191">
        <w:rPr>
          <w:rFonts w:ascii="Times New Roman" w:eastAsia="Times New Roman" w:hAnsi="Times New Roman"/>
          <w:sz w:val="24"/>
          <w:szCs w:val="24"/>
        </w:rPr>
        <w:t>ers or market participants.  The Exchange</w:t>
      </w:r>
      <w:r w:rsidRPr="00370191">
        <w:rPr>
          <w:rFonts w:ascii="Times New Roman" w:eastAsia="Times New Roman" w:hAnsi="Times New Roman"/>
          <w:sz w:val="24"/>
          <w:szCs w:val="24"/>
        </w:rPr>
        <w:t xml:space="preserve"> certifies that the </w:t>
      </w:r>
      <w:r w:rsidR="00CA759B">
        <w:rPr>
          <w:rFonts w:ascii="Times New Roman" w:eastAsia="Times New Roman" w:hAnsi="Times New Roman"/>
          <w:sz w:val="24"/>
          <w:szCs w:val="24"/>
        </w:rPr>
        <w:t>changes to the Exchange’s Fee S</w:t>
      </w:r>
      <w:r w:rsidR="00AF214E">
        <w:rPr>
          <w:rFonts w:ascii="Times New Roman" w:eastAsia="Times New Roman" w:hAnsi="Times New Roman"/>
          <w:sz w:val="24"/>
          <w:szCs w:val="24"/>
        </w:rPr>
        <w:t>chedule and the clarification set forth herein</w:t>
      </w:r>
      <w:r w:rsidR="00DF2991">
        <w:rPr>
          <w:rFonts w:ascii="Times New Roman" w:eastAsia="Times New Roman" w:hAnsi="Times New Roman"/>
          <w:sz w:val="24"/>
          <w:szCs w:val="24"/>
        </w:rPr>
        <w:t xml:space="preserve"> </w:t>
      </w:r>
      <w:r w:rsidR="00857230">
        <w:rPr>
          <w:rFonts w:ascii="Times New Roman" w:eastAsia="Times New Roman" w:hAnsi="Times New Roman"/>
          <w:sz w:val="24"/>
          <w:szCs w:val="24"/>
        </w:rPr>
        <w:t>compl</w:t>
      </w:r>
      <w:r w:rsidR="00DF2991">
        <w:rPr>
          <w:rFonts w:ascii="Times New Roman" w:eastAsia="Times New Roman" w:hAnsi="Times New Roman"/>
          <w:sz w:val="24"/>
          <w:szCs w:val="24"/>
        </w:rPr>
        <w:t>y</w:t>
      </w:r>
      <w:r w:rsidRPr="00370191">
        <w:rPr>
          <w:rFonts w:ascii="Times New Roman" w:eastAsia="Times New Roman" w:hAnsi="Times New Roman"/>
          <w:sz w:val="24"/>
          <w:szCs w:val="24"/>
        </w:rPr>
        <w:t xml:space="preserve"> with the Commodity Exchange Act and regulations thereunder</w:t>
      </w:r>
      <w:r w:rsidR="002C5C67">
        <w:rPr>
          <w:rFonts w:ascii="Times New Roman" w:eastAsia="Times New Roman" w:hAnsi="Times New Roman"/>
          <w:sz w:val="24"/>
          <w:szCs w:val="24"/>
        </w:rPr>
        <w:t xml:space="preserve">.  </w:t>
      </w:r>
      <w:r w:rsidR="00370191" w:rsidRPr="00370191">
        <w:rPr>
          <w:rFonts w:ascii="Times New Roman" w:eastAsia="Times New Roman" w:hAnsi="Times New Roman"/>
          <w:sz w:val="24"/>
          <w:szCs w:val="24"/>
        </w:rPr>
        <w:t xml:space="preserve">The Exchange also certifies that notice of pending certification and a copy of this </w:t>
      </w:r>
      <w:r w:rsidR="00370191" w:rsidRPr="00AD3892">
        <w:rPr>
          <w:rFonts w:ascii="Times New Roman" w:eastAsia="Times New Roman" w:hAnsi="Times New Roman"/>
          <w:sz w:val="24"/>
          <w:szCs w:val="24"/>
        </w:rPr>
        <w:t>submission have been concurrently posted on the Exchange’s website at</w:t>
      </w:r>
      <w:r w:rsidR="00370191" w:rsidRPr="00AD3892">
        <w:rPr>
          <w:rFonts w:ascii="Times New Roman" w:eastAsia="Calibri" w:hAnsi="Times New Roman"/>
          <w:sz w:val="24"/>
          <w:szCs w:val="24"/>
        </w:rPr>
        <w:t xml:space="preserve"> </w:t>
      </w:r>
      <w:hyperlink r:id="rId10" w:history="1">
        <w:r w:rsidR="00A50B5D" w:rsidRPr="001A6860">
          <w:rPr>
            <w:rStyle w:val="Hyperlink"/>
            <w:rFonts w:ascii="Times New Roman" w:eastAsia="Calibri" w:hAnsi="Times New Roman"/>
            <w:sz w:val="24"/>
            <w:szCs w:val="24"/>
          </w:rPr>
          <w:t>http://business.nasdaq.com/nasdaq-futures/nfx-market</w:t>
        </w:r>
      </w:hyperlink>
      <w:r w:rsidR="00CA759B">
        <w:rPr>
          <w:rFonts w:ascii="Times New Roman" w:eastAsia="Times New Roman" w:hAnsi="Times New Roman"/>
          <w:sz w:val="24"/>
          <w:szCs w:val="24"/>
        </w:rPr>
        <w:t>.</w:t>
      </w:r>
    </w:p>
    <w:p w:rsidR="00985E5A" w:rsidRPr="00AD3892" w:rsidRDefault="00985E5A" w:rsidP="00370191">
      <w:pPr>
        <w:pStyle w:val="PlainText"/>
        <w:rPr>
          <w:rFonts w:ascii="Times New Roman" w:hAnsi="Times New Roman"/>
          <w:sz w:val="24"/>
          <w:szCs w:val="24"/>
        </w:rPr>
      </w:pPr>
    </w:p>
    <w:p w:rsidR="00D8222F" w:rsidRDefault="00D8222F" w:rsidP="00CB4B74">
      <w:pPr>
        <w:ind w:firstLine="720"/>
        <w:jc w:val="both"/>
      </w:pPr>
      <w:r>
        <w:t xml:space="preserve">If you require any additional information regarding the submission, please </w:t>
      </w:r>
      <w:r w:rsidR="001F0055">
        <w:t xml:space="preserve">contact </w:t>
      </w:r>
      <w:r w:rsidR="007902B8">
        <w:t>Stephen Matthews</w:t>
      </w:r>
      <w:r w:rsidR="00CA759B">
        <w:t xml:space="preserve"> at (</w:t>
      </w:r>
      <w:r w:rsidR="007902B8">
        <w:t>301</w:t>
      </w:r>
      <w:r w:rsidR="00CA759B">
        <w:t xml:space="preserve">) </w:t>
      </w:r>
      <w:r w:rsidR="007902B8">
        <w:t>978</w:t>
      </w:r>
      <w:r w:rsidR="00CA759B">
        <w:t>-</w:t>
      </w:r>
      <w:r w:rsidR="007902B8">
        <w:t>8458</w:t>
      </w:r>
      <w:r w:rsidR="00F804A7">
        <w:t xml:space="preserve"> or via e-mail at </w:t>
      </w:r>
      <w:r w:rsidR="00F804A7" w:rsidRPr="00F617CF">
        <w:rPr>
          <w:u w:val="single"/>
        </w:rPr>
        <w:t>steve.matthews@nasdaq.com</w:t>
      </w:r>
      <w:r w:rsidR="001F0055">
        <w:t xml:space="preserve">.  </w:t>
      </w:r>
      <w:r w:rsidR="00F678D6">
        <w:t>Please reference SR-</w:t>
      </w:r>
      <w:r w:rsidR="007C1FE9">
        <w:t>NFX-201</w:t>
      </w:r>
      <w:r w:rsidR="00913ED4">
        <w:t>6</w:t>
      </w:r>
      <w:r w:rsidR="00957E3F">
        <w:t>-</w:t>
      </w:r>
      <w:r w:rsidR="00416D49">
        <w:t xml:space="preserve">09 </w:t>
      </w:r>
      <w:r w:rsidR="00F678D6">
        <w:t>in any related correspondence.</w:t>
      </w:r>
    </w:p>
    <w:p w:rsidR="00D8222F" w:rsidRDefault="00D8222F" w:rsidP="00D8222F"/>
    <w:p w:rsidR="00D8222F" w:rsidRDefault="00D8222F" w:rsidP="00D8222F"/>
    <w:p w:rsidR="0035344B" w:rsidRDefault="00D8222F" w:rsidP="0035344B">
      <w:r>
        <w:rPr>
          <w:rFonts w:eastAsia="Calibri"/>
          <w:noProof/>
        </w:rPr>
        <w:drawing>
          <wp:anchor distT="0" distB="0" distL="114300" distR="114300" simplePos="0" relativeHeight="251661312" behindDoc="1" locked="0" layoutInCell="1" allowOverlap="1" wp14:anchorId="568D8D23" wp14:editId="0F6C52C2">
            <wp:simplePos x="0" y="0"/>
            <wp:positionH relativeFrom="column">
              <wp:posOffset>2045970</wp:posOffset>
            </wp:positionH>
            <wp:positionV relativeFrom="paragraph">
              <wp:posOffset>41910</wp:posOffset>
            </wp:positionV>
            <wp:extent cx="275272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52725" cy="638175"/>
                    </a:xfrm>
                    <a:prstGeom prst="rect">
                      <a:avLst/>
                    </a:prstGeom>
                    <a:noFill/>
                    <a:ln w="9525">
                      <a:noFill/>
                      <a:miter lim="800000"/>
                      <a:headEnd/>
                      <a:tailEnd/>
                    </a:ln>
                  </pic:spPr>
                </pic:pic>
              </a:graphicData>
            </a:graphic>
          </wp:anchor>
        </w:drawing>
      </w:r>
      <w:r w:rsidR="0035344B">
        <w:t>                                                    Regards,</w:t>
      </w:r>
    </w:p>
    <w:p w:rsidR="00D8222F" w:rsidRDefault="00D8222F" w:rsidP="0035344B"/>
    <w:p w:rsidR="0035344B" w:rsidRDefault="0035344B" w:rsidP="0035344B">
      <w:pPr>
        <w:rPr>
          <w:sz w:val="20"/>
          <w:szCs w:val="20"/>
        </w:rPr>
      </w:pPr>
    </w:p>
    <w:p w:rsidR="0035344B" w:rsidRDefault="0035344B" w:rsidP="0035344B">
      <w:pPr>
        <w:rPr>
          <w:sz w:val="20"/>
          <w:szCs w:val="20"/>
        </w:rPr>
      </w:pPr>
    </w:p>
    <w:p w:rsidR="0035344B" w:rsidRDefault="0035344B" w:rsidP="0035344B">
      <w:r>
        <w:t>                                                      Daniel Carrigan</w:t>
      </w:r>
    </w:p>
    <w:p w:rsidR="0035344B" w:rsidRDefault="0035344B" w:rsidP="0035344B">
      <w:pPr>
        <w:tabs>
          <w:tab w:val="left" w:pos="3330"/>
        </w:tabs>
        <w:ind w:left="3330"/>
      </w:pPr>
      <w:r>
        <w:t>President</w:t>
      </w:r>
    </w:p>
    <w:p w:rsidR="00E53BE3" w:rsidRDefault="00E53BE3" w:rsidP="0035344B">
      <w:pPr>
        <w:tabs>
          <w:tab w:val="left" w:pos="3330"/>
        </w:tabs>
        <w:ind w:left="3330"/>
      </w:pPr>
    </w:p>
    <w:p w:rsidR="00370191" w:rsidRDefault="00370191" w:rsidP="0035344B"/>
    <w:p w:rsidR="00CA759B" w:rsidRDefault="00CA759B" w:rsidP="0035344B"/>
    <w:p w:rsidR="00D8222F" w:rsidRDefault="00D8222F">
      <w:r>
        <w:br w:type="page"/>
      </w:r>
    </w:p>
    <w:p w:rsidR="0035344B" w:rsidRDefault="0035344B" w:rsidP="0035344B"/>
    <w:p w:rsidR="002A5AEE" w:rsidRDefault="002A5AEE" w:rsidP="002A5AEE">
      <w:pPr>
        <w:spacing w:after="15" w:line="240" w:lineRule="atLeast"/>
        <w:jc w:val="center"/>
        <w:outlineLvl w:val="1"/>
        <w:rPr>
          <w:b/>
          <w:bCs/>
        </w:rPr>
      </w:pPr>
      <w:r>
        <w:rPr>
          <w:b/>
          <w:bCs/>
        </w:rPr>
        <w:t>Exhibit A</w:t>
      </w:r>
    </w:p>
    <w:p w:rsidR="00B855EE" w:rsidRDefault="00B855EE" w:rsidP="002A5AEE">
      <w:pPr>
        <w:spacing w:after="15" w:line="240" w:lineRule="atLeast"/>
        <w:jc w:val="center"/>
        <w:outlineLvl w:val="1"/>
        <w:rPr>
          <w:b/>
          <w:bCs/>
        </w:rPr>
      </w:pPr>
    </w:p>
    <w:p w:rsidR="00EE3DE5" w:rsidRDefault="003C1061" w:rsidP="00EE3DE5">
      <w:pPr>
        <w:spacing w:after="15" w:line="240" w:lineRule="atLeast"/>
        <w:outlineLvl w:val="1"/>
        <w:rPr>
          <w:b/>
          <w:bCs/>
          <w:i/>
        </w:rPr>
      </w:pPr>
      <w:r>
        <w:rPr>
          <w:b/>
          <w:bCs/>
          <w:i/>
        </w:rPr>
        <w:t>New text is</w:t>
      </w:r>
      <w:r w:rsidR="00B855EE">
        <w:rPr>
          <w:b/>
          <w:bCs/>
          <w:i/>
        </w:rPr>
        <w:t xml:space="preserve"> underlined and deleted text is stricken.</w:t>
      </w:r>
    </w:p>
    <w:p w:rsidR="00B855EE" w:rsidRPr="00EE3DE5" w:rsidRDefault="00B855EE" w:rsidP="00EE3DE5">
      <w:pPr>
        <w:spacing w:after="15" w:line="240" w:lineRule="atLeast"/>
        <w:outlineLvl w:val="1"/>
        <w:rPr>
          <w:b/>
          <w:bCs/>
          <w:i/>
        </w:rPr>
      </w:pPr>
    </w:p>
    <w:p w:rsidR="002A5AEE" w:rsidRPr="00E20BE7" w:rsidRDefault="002A5AEE" w:rsidP="002A5AEE">
      <w:pPr>
        <w:spacing w:after="15" w:line="240" w:lineRule="atLeast"/>
        <w:outlineLvl w:val="0"/>
        <w:rPr>
          <w:b/>
          <w:bCs/>
          <w:kern w:val="36"/>
        </w:rPr>
      </w:pPr>
    </w:p>
    <w:p w:rsidR="002A5AEE" w:rsidRPr="00E20BE7" w:rsidRDefault="002A5AEE" w:rsidP="002A5AEE">
      <w:pPr>
        <w:spacing w:after="15" w:line="240" w:lineRule="atLeast"/>
        <w:outlineLvl w:val="0"/>
        <w:rPr>
          <w:b/>
          <w:bCs/>
          <w:kern w:val="36"/>
        </w:rPr>
      </w:pPr>
      <w:r w:rsidRPr="00E20BE7">
        <w:rPr>
          <w:b/>
          <w:bCs/>
          <w:kern w:val="36"/>
        </w:rPr>
        <w:t>NASDAQ FUTURES FEE SCHEDULE</w:t>
      </w:r>
    </w:p>
    <w:p w:rsidR="002A5AEE" w:rsidRDefault="002A5AEE" w:rsidP="002A5AEE">
      <w:pPr>
        <w:spacing w:before="15" w:after="100" w:afterAutospacing="1" w:line="240" w:lineRule="atLeast"/>
      </w:pPr>
      <w:bookmarkStart w:id="1" w:name="sx-policymanual-phlx-philabotTABLEOFCONT"/>
      <w:bookmarkStart w:id="2" w:name="chp_1_2_1"/>
      <w:bookmarkEnd w:id="1"/>
      <w:bookmarkEnd w:id="2"/>
    </w:p>
    <w:p w:rsidR="00E2542C" w:rsidRPr="00E2542C" w:rsidRDefault="00E2542C" w:rsidP="00E2542C">
      <w:pPr>
        <w:pStyle w:val="ListParagraph"/>
        <w:numPr>
          <w:ilvl w:val="0"/>
          <w:numId w:val="0"/>
        </w:numPr>
        <w:spacing w:before="15" w:after="100" w:afterAutospacing="1" w:line="240" w:lineRule="atLeast"/>
        <w:ind w:left="720"/>
        <w:jc w:val="center"/>
        <w:rPr>
          <w:rFonts w:ascii="Times New Roman" w:hAnsi="Times New Roman"/>
          <w:b/>
          <w:sz w:val="24"/>
        </w:rPr>
      </w:pPr>
      <w:r w:rsidRPr="00E2542C">
        <w:rPr>
          <w:rFonts w:ascii="Times New Roman" w:hAnsi="Times New Roman"/>
          <w:b/>
          <w:sz w:val="24"/>
        </w:rPr>
        <w:t>* * * * *</w:t>
      </w:r>
    </w:p>
    <w:p w:rsidR="002A5AEE" w:rsidRPr="00E20BE7" w:rsidRDefault="002A5AEE" w:rsidP="002A5AEE">
      <w:pPr>
        <w:spacing w:before="150" w:after="15" w:line="240" w:lineRule="atLeast"/>
        <w:outlineLvl w:val="1"/>
        <w:rPr>
          <w:b/>
          <w:bCs/>
        </w:rPr>
      </w:pPr>
      <w:bookmarkStart w:id="3" w:name="sx-policymanual-phlx-philabotPREFACE"/>
      <w:bookmarkStart w:id="4" w:name="chp_1_2_2"/>
      <w:bookmarkStart w:id="5" w:name="sx-policymanual-phlx-philabotSectionITra"/>
      <w:bookmarkStart w:id="6" w:name="chp_1_2_3"/>
      <w:bookmarkEnd w:id="3"/>
      <w:bookmarkEnd w:id="4"/>
      <w:bookmarkEnd w:id="5"/>
      <w:bookmarkEnd w:id="6"/>
      <w:r w:rsidRPr="00E20BE7">
        <w:rPr>
          <w:b/>
          <w:bCs/>
        </w:rPr>
        <w:t>Section I-Transaction Charges</w:t>
      </w:r>
    </w:p>
    <w:p w:rsidR="00EE3DE5" w:rsidRPr="00C30952" w:rsidRDefault="00EB352E" w:rsidP="002A5AEE">
      <w:pPr>
        <w:spacing w:before="150" w:after="15" w:line="240" w:lineRule="atLeast"/>
        <w:outlineLvl w:val="1"/>
        <w:rPr>
          <w:b/>
          <w:bCs/>
        </w:rPr>
      </w:pPr>
      <w:bookmarkStart w:id="7" w:name="sx-policymanual-phlx-philabotSectionIIPe"/>
      <w:bookmarkStart w:id="8" w:name="chp_1_2_4"/>
      <w:bookmarkEnd w:id="7"/>
      <w:bookmarkEnd w:id="8"/>
      <w:r w:rsidRPr="00C30952">
        <w:rPr>
          <w:b/>
          <w:bCs/>
        </w:rPr>
        <w:t>Energy Products</w:t>
      </w:r>
      <w:r w:rsidR="00EE3DE5" w:rsidRPr="00C30952">
        <w:rPr>
          <w:b/>
          <w:bCs/>
        </w:rPr>
        <w:t xml:space="preserve">.  </w:t>
      </w:r>
      <w:r w:rsidR="001F0055" w:rsidRPr="00C30952">
        <w:rPr>
          <w:b/>
          <w:bCs/>
        </w:rPr>
        <w:t xml:space="preserve">The transaction charges are per contract and will be set at $0.00 until May 1, 2016.  </w:t>
      </w:r>
    </w:p>
    <w:p w:rsidR="006A29B0" w:rsidRPr="006A29B0" w:rsidRDefault="006A29B0" w:rsidP="006A29B0">
      <w:pPr>
        <w:spacing w:before="150" w:line="240" w:lineRule="atLeast"/>
        <w:outlineLvl w:val="1"/>
        <w:rPr>
          <w:rFonts w:eastAsiaTheme="minorHAnsi"/>
          <w:b/>
          <w:bCs/>
          <w:u w:val="single"/>
        </w:rPr>
      </w:pPr>
    </w:p>
    <w:tbl>
      <w:tblPr>
        <w:tblStyle w:val="TableGrid"/>
        <w:tblW w:w="0" w:type="auto"/>
        <w:tblInd w:w="-72" w:type="dxa"/>
        <w:tblLook w:val="04A0" w:firstRow="1" w:lastRow="0" w:firstColumn="1" w:lastColumn="0" w:noHBand="0" w:noVBand="1"/>
      </w:tblPr>
      <w:tblGrid>
        <w:gridCol w:w="8280"/>
        <w:gridCol w:w="1354"/>
      </w:tblGrid>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b/>
              </w:rPr>
            </w:pPr>
            <w:r w:rsidRPr="006A29B0">
              <w:rPr>
                <w:rFonts w:ascii="Times New Roman" w:hAnsi="Times New Roman" w:cs="Times New Roman"/>
                <w:b/>
              </w:rPr>
              <w:t>OIL AND REFINED PRODUCTS</w:t>
            </w:r>
          </w:p>
        </w:tc>
        <w:tc>
          <w:tcPr>
            <w:tcW w:w="1354" w:type="dxa"/>
          </w:tcPr>
          <w:p w:rsidR="006A29B0" w:rsidRPr="006A29B0" w:rsidRDefault="006A29B0" w:rsidP="006A29B0">
            <w:pPr>
              <w:spacing w:line="276" w:lineRule="auto"/>
              <w:jc w:val="center"/>
              <w:rPr>
                <w:rFonts w:ascii="Times New Roman" w:hAnsi="Times New Roman" w:cs="Times New Roman"/>
                <w:b/>
              </w:rPr>
            </w:pPr>
            <w:r w:rsidRPr="006A29B0">
              <w:rPr>
                <w:rFonts w:ascii="Times New Roman" w:hAnsi="Times New Roman" w:cs="Times New Roman"/>
                <w:b/>
              </w:rPr>
              <w:t>FEE</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Brent Crude Financial Futures (BFQ)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bCs/>
              </w:rPr>
              <w:t xml:space="preserve">NFX Brent 1st Line Financial Futures </w:t>
            </w:r>
            <w:r w:rsidRPr="006A29B0">
              <w:rPr>
                <w:rFonts w:ascii="Times New Roman" w:hAnsi="Times New Roman" w:cs="Times New Roman"/>
              </w:rPr>
              <w:t>(IBQ)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bCs/>
              </w:rPr>
              <w:t xml:space="preserve">NFX Brent 1st Line Mini Financial Futures </w:t>
            </w:r>
            <w:r w:rsidRPr="006A29B0">
              <w:rPr>
                <w:rFonts w:ascii="Times New Roman" w:hAnsi="Times New Roman" w:cs="Times New Roman"/>
              </w:rPr>
              <w:t>(IMMQ)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Options on NFX Brent Crude Financial Futures (BCQ)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WTI Crude Oil Financial Futures (CLQ)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WTI Crude Oil Penultimate Financial Futures (TQ)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bCs/>
              </w:rPr>
              <w:t>NFX WTI 1st Line Financial Futures (RTIQ)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bCs/>
              </w:rPr>
              <w:t>NFX WTI 1st Line Mini Financial Futures (RMMQ)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Options on NFX WTI Crude Oil Penultimate Financial Futures (TOQ)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Low Sulphur Gasoil Financial Futures (GOQ)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bCs/>
              </w:rPr>
              <w:t>NFX Low Sulphur Gasoil 1st Line Financial Futures (ULAQ)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bCs/>
                <w:color w:val="000000"/>
              </w:rPr>
              <w:t>NFX Gasoil Crack Financial Futures (in BBLS)- Low Sulphur Gasoil 1st Line vs Brent 1st Line (GZQ)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Heating Oil Financial Futures (HOQ)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Heating Oil Penultimate Financial Futures (OQ)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 xml:space="preserve">NFX Heating Oil 1st Line Financial Futures (HOFQ)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RBOB Gasoline Financial Futures (RBQ)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rPr>
                <w:rFonts w:ascii="Times New Roman" w:hAnsi="Times New Roman" w:cs="Times New Roman"/>
              </w:rPr>
            </w:pPr>
            <w:r w:rsidRPr="006A29B0">
              <w:rPr>
                <w:rFonts w:ascii="Times New Roman" w:hAnsi="Times New Roman" w:cs="Times New Roman"/>
              </w:rPr>
              <w:t>NFX RBOB Gasoline Penultimate Financial Futures (RQ)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rPr>
                <w:rFonts w:ascii="Times New Roman" w:hAnsi="Times New Roman" w:cs="Times New Roman"/>
              </w:rPr>
            </w:pPr>
            <w:r w:rsidRPr="006A29B0">
              <w:rPr>
                <w:rFonts w:ascii="Times New Roman" w:hAnsi="Times New Roman" w:cs="Times New Roman"/>
              </w:rPr>
              <w:t xml:space="preserve">NFX RBOB Gasoline 1st Line Financial Futures (RBSQ)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rPr>
                <w:rFonts w:ascii="Times New Roman" w:hAnsi="Times New Roman" w:cs="Times New Roman"/>
              </w:rPr>
            </w:pPr>
            <w:r w:rsidRPr="006A29B0">
              <w:rPr>
                <w:rFonts w:ascii="Times New Roman" w:hAnsi="Times New Roman" w:cs="Times New Roman"/>
                <w:bCs/>
                <w:color w:val="000000"/>
              </w:rPr>
              <w:t xml:space="preserve">NFX Gasoline Crack </w:t>
            </w:r>
            <w:r w:rsidRPr="006A29B0">
              <w:rPr>
                <w:rFonts w:ascii="Times New Roman" w:hAnsi="Times New Roman" w:cs="Times New Roman"/>
                <w:bCs/>
              </w:rPr>
              <w:t xml:space="preserve">Financial Futures (in BBLS) </w:t>
            </w:r>
            <w:r w:rsidRPr="006A29B0">
              <w:rPr>
                <w:rFonts w:ascii="Times New Roman" w:hAnsi="Times New Roman" w:cs="Times New Roman"/>
                <w:bCs/>
                <w:color w:val="000000"/>
              </w:rPr>
              <w:t>- RBOB Gasoline 1st Line vs  Brent 1st Line (RBRQ)</w:t>
            </w:r>
            <w:r w:rsidRPr="006A29B0">
              <w:rPr>
                <w:rFonts w:ascii="Times New Roman" w:hAnsi="Times New Roman" w:cs="Times New Roman"/>
              </w:rPr>
              <w:t xml:space="preserve"> </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p>
        </w:tc>
        <w:tc>
          <w:tcPr>
            <w:tcW w:w="1354" w:type="dxa"/>
          </w:tcPr>
          <w:p w:rsidR="006A29B0" w:rsidRPr="006A29B0" w:rsidRDefault="006A29B0" w:rsidP="006A29B0">
            <w:pPr>
              <w:spacing w:line="276" w:lineRule="auto"/>
              <w:jc w:val="center"/>
              <w:rPr>
                <w:rFonts w:ascii="Times New Roman" w:hAnsi="Times New Roman" w:cs="Times New Roman"/>
              </w:rPr>
            </w:pP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b/>
              </w:rPr>
            </w:pPr>
            <w:r w:rsidRPr="006A29B0">
              <w:rPr>
                <w:rFonts w:ascii="Times New Roman" w:hAnsi="Times New Roman" w:cs="Times New Roman"/>
                <w:b/>
              </w:rPr>
              <w:t>NATURAL GAS PRODUCTS</w:t>
            </w:r>
          </w:p>
        </w:tc>
        <w:tc>
          <w:tcPr>
            <w:tcW w:w="1354" w:type="dxa"/>
          </w:tcPr>
          <w:p w:rsidR="006A29B0" w:rsidRPr="006A29B0" w:rsidRDefault="006A29B0" w:rsidP="006A29B0">
            <w:pPr>
              <w:spacing w:line="276" w:lineRule="auto"/>
              <w:jc w:val="center"/>
              <w:rPr>
                <w:rFonts w:ascii="Times New Roman" w:hAnsi="Times New Roman" w:cs="Times New Roman"/>
              </w:rPr>
            </w:pP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Henry Hub Natural Gas Financial Futures – 2,500 (NNQ)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lastRenderedPageBreak/>
              <w:t>NFX Henry Hub Natural Gas Penultimate Financial Futures – 2,500 (NPQ)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Henry Hub Natural Gas Financial Futures – 10,000 (HHQ)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Henry Hub Natural Gas Penultimate Financial Futures – 10,000 (HUQ)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Options on NFX Henry Hub Penultimate Financial Futures – 10,000  (LNQ)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p>
        </w:tc>
        <w:tc>
          <w:tcPr>
            <w:tcW w:w="1354" w:type="dxa"/>
          </w:tcPr>
          <w:p w:rsidR="006A29B0" w:rsidRPr="006A29B0" w:rsidRDefault="006A29B0" w:rsidP="006A29B0">
            <w:pPr>
              <w:spacing w:line="276" w:lineRule="auto"/>
              <w:jc w:val="center"/>
              <w:rPr>
                <w:rFonts w:ascii="Times New Roman" w:hAnsi="Times New Roman" w:cs="Times New Roman"/>
              </w:rPr>
            </w:pP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b/>
              </w:rPr>
            </w:pPr>
            <w:r w:rsidRPr="006A29B0">
              <w:rPr>
                <w:rFonts w:ascii="Times New Roman" w:hAnsi="Times New Roman" w:cs="Times New Roman"/>
                <w:b/>
              </w:rPr>
              <w:t>POWER CONTRACTS</w:t>
            </w:r>
          </w:p>
        </w:tc>
        <w:tc>
          <w:tcPr>
            <w:tcW w:w="1354" w:type="dxa"/>
          </w:tcPr>
          <w:p w:rsidR="006A29B0" w:rsidRPr="006A29B0" w:rsidRDefault="006A29B0" w:rsidP="006A29B0">
            <w:pPr>
              <w:spacing w:line="276" w:lineRule="auto"/>
              <w:jc w:val="center"/>
              <w:rPr>
                <w:rFonts w:ascii="Times New Roman" w:hAnsi="Times New Roman" w:cs="Times New Roman"/>
              </w:rPr>
            </w:pPr>
          </w:p>
        </w:tc>
      </w:tr>
      <w:tr w:rsidR="006A29B0" w:rsidRPr="006A29B0" w:rsidTr="00250E35">
        <w:tc>
          <w:tcPr>
            <w:tcW w:w="8280" w:type="dxa"/>
          </w:tcPr>
          <w:p w:rsidR="006A29B0" w:rsidRPr="006A29B0" w:rsidRDefault="006A29B0" w:rsidP="006A29B0">
            <w:pPr>
              <w:spacing w:line="276" w:lineRule="auto"/>
              <w:jc w:val="both"/>
              <w:rPr>
                <w:rFonts w:ascii="Times New Roman" w:hAnsi="Times New Roman" w:cs="Times New Roman"/>
              </w:rPr>
            </w:pPr>
            <w:r w:rsidRPr="006A29B0">
              <w:rPr>
                <w:rFonts w:ascii="Times New Roman" w:hAnsi="Times New Roman" w:cs="Times New Roman"/>
              </w:rPr>
              <w:t>NFX CAISO NP-15 Hub Day-Ahead Off-Peak Financial Futures (ONPQ)</w:t>
            </w:r>
          </w:p>
        </w:tc>
        <w:tc>
          <w:tcPr>
            <w:tcW w:w="1354" w:type="dxa"/>
          </w:tcPr>
          <w:p w:rsidR="006A29B0" w:rsidRPr="006A29B0" w:rsidRDefault="006A29B0" w:rsidP="006A29B0">
            <w:pPr>
              <w:spacing w:line="276" w:lineRule="auto"/>
              <w:jc w:val="center"/>
              <w:rPr>
                <w:rFonts w:ascii="Times New Roman" w:hAnsi="Times New Roman" w:cs="Times New Roman"/>
              </w:rPr>
            </w:pPr>
            <w:r w:rsidRPr="006A29B0">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CAISO NP-15 Hub Day-Ahead Peak Financial Futures (NPMQ)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CAISO NP-15 Hub Day-Ahead Peak Mini Financial Futures – 5 MW (NPNQ)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CAISO NP-15 Hub Day-Ahead Peak Mini Financial Futures – 1 MW (NPPQ)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CAISO SP-15 Hub Day-Ahead Off-Peak Financial Futures (OFPQ)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CAISO SP-15 Hub Day-Ahead Peak Financial Futures (SPMQ)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CAISO SP-15 Hub Day-Ahead Peak Mini Financial Futures – 5 MW (SPZQ)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CAISO SP-15 Hub Day-Ahead Peak Mini Financial Futures – 1 MW (SPVQ)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ISO-NE Massachusetts Hub Day-Ahead Off-Peak Financial Futures (NOPQ)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ISO-NE Massachusetts Hub Day-Ahead Peak Financial Futures (NEPQ)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ISO-NE Massachusetts Hub Day-Ahead Peak Mini Financial Futures – 5 MW (NMMQ)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ISO-NE Massachusetts Hub Day-Ahead Peak Mini Financial Futures – 1 MW (NEMQ)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MISO Indiana Hub Real-Time Off-Peak Financial Futures (CPOQ)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MISO Indiana Hub Real-Time Peak Financial Futures (CINQ)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MISO Indiana Hub Real-Time Peak Mini Financial Futures – 5 MW (MCHQ)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MISO Indiana Hub Real-Time Peak Mini Financial Futures – 1 MW (MCGQ)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PJM AEP Dayton Hub Real-Time Off-Peak Financial Futures (AODQ)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PJM AEP Dayton Hub Real-Time Peak Financial Futures (MSOQ)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PJM AEP Dayton Hub Real-Time Mini Peak Financial Futures – 5 MW (MSSQ)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PJM AEP Dayton Hub Real-Time Mini Peak Financial Futures – 1 MW (MSTQ)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PJM Northern Illinois Hub Real-Time Off-Peak Financial Futures (NIOQ)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PJM Northern Illinois Hub Real-Time Peak Financial Futures  (PNLQ)</w:t>
            </w:r>
          </w:p>
        </w:tc>
        <w:tc>
          <w:tcPr>
            <w:tcW w:w="1354" w:type="dxa"/>
          </w:tcPr>
          <w:p w:rsidR="006A29B0" w:rsidRPr="00F804A7" w:rsidRDefault="006A29B0" w:rsidP="006A29B0">
            <w:pPr>
              <w:spacing w:line="276" w:lineRule="auto"/>
              <w:jc w:val="center"/>
              <w:rPr>
                <w:rFonts w:ascii="Times New Roman" w:hAnsi="Times New Roman" w:cs="Times New Roman"/>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PJM Northern Illinois Hub Real-Time Peak Mini Financial Futures  – 5 MW (PNQQ)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b/>
                <w:u w:val="single"/>
              </w:rPr>
            </w:pPr>
            <w:r w:rsidRPr="00F804A7">
              <w:rPr>
                <w:rFonts w:ascii="Times New Roman" w:hAnsi="Times New Roman" w:cs="Times New Roman"/>
                <w:u w:val="single"/>
              </w:rPr>
              <w:t>NFX PJM Northern Illinois Hub Real-Time Peak Mini Financial Futures  – 1 MW (PNPQ)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lastRenderedPageBreak/>
              <w:t>NFX PJM Western Hub Day-Ahead Off-Peak Financial Futures (PJDQ)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PJM Western Hub Day-Ahead Peak Financial Futures (PJCQ)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PJM Western Hub Real-Time Off-Peak Financial Futures (OPJQ)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PJM Western Hub Real-Time Off-Peak Mini Financial Futures (OPKQ)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rPr>
            </w:pPr>
            <w:r w:rsidRPr="00F804A7">
              <w:rPr>
                <w:rFonts w:ascii="Times New Roman" w:hAnsi="Times New Roman" w:cs="Times New Roman"/>
              </w:rPr>
              <w:t>NFX PJM Western Hub Real-Time Peak Financial Futures (PJMQ)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PJM Western Hub Real-Time Peak Mini Financial Futures – 5 MW (PMJQ)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r w:rsidR="006A29B0" w:rsidRPr="006A29B0" w:rsidTr="00250E35">
        <w:tc>
          <w:tcPr>
            <w:tcW w:w="8280" w:type="dxa"/>
          </w:tcPr>
          <w:p w:rsidR="006A29B0" w:rsidRPr="00F804A7" w:rsidRDefault="006A29B0" w:rsidP="006A29B0">
            <w:pPr>
              <w:spacing w:line="276" w:lineRule="auto"/>
              <w:jc w:val="both"/>
              <w:rPr>
                <w:rFonts w:ascii="Times New Roman" w:hAnsi="Times New Roman" w:cs="Times New Roman"/>
                <w:u w:val="single"/>
              </w:rPr>
            </w:pPr>
            <w:r w:rsidRPr="00F804A7">
              <w:rPr>
                <w:rFonts w:ascii="Times New Roman" w:hAnsi="Times New Roman" w:cs="Times New Roman"/>
                <w:u w:val="single"/>
              </w:rPr>
              <w:t>NFX PJM Western Hub Real-Time Peak Mini Financial Futures – 1 MW (PMIQ)</w:t>
            </w:r>
          </w:p>
        </w:tc>
        <w:tc>
          <w:tcPr>
            <w:tcW w:w="1354" w:type="dxa"/>
          </w:tcPr>
          <w:p w:rsidR="006A29B0" w:rsidRPr="00F804A7" w:rsidRDefault="006A29B0" w:rsidP="006A29B0">
            <w:pPr>
              <w:spacing w:line="276" w:lineRule="auto"/>
              <w:jc w:val="center"/>
              <w:rPr>
                <w:rFonts w:ascii="Times New Roman" w:hAnsi="Times New Roman" w:cs="Times New Roman"/>
                <w:u w:val="single"/>
              </w:rPr>
            </w:pPr>
            <w:r w:rsidRPr="00F804A7">
              <w:rPr>
                <w:rFonts w:ascii="Times New Roman" w:hAnsi="Times New Roman" w:cs="Times New Roman"/>
                <w:u w:val="single"/>
              </w:rPr>
              <w:t>$0.00</w:t>
            </w:r>
          </w:p>
        </w:tc>
      </w:tr>
    </w:tbl>
    <w:p w:rsidR="006A29B0" w:rsidRPr="006A29B0" w:rsidRDefault="006A29B0" w:rsidP="006A29B0">
      <w:pPr>
        <w:spacing w:before="150" w:line="240" w:lineRule="atLeast"/>
        <w:ind w:left="216" w:hanging="216"/>
        <w:outlineLvl w:val="1"/>
        <w:rPr>
          <w:rFonts w:eastAsiaTheme="minorHAnsi"/>
          <w:bCs/>
        </w:rPr>
      </w:pPr>
    </w:p>
    <w:p w:rsidR="006A29B0" w:rsidRDefault="006A29B0" w:rsidP="006A29B0">
      <w:pPr>
        <w:spacing w:before="150" w:line="240" w:lineRule="atLeast"/>
        <w:outlineLvl w:val="1"/>
        <w:rPr>
          <w:bCs/>
        </w:rPr>
      </w:pPr>
      <w:r w:rsidRPr="006A29B0">
        <w:rPr>
          <w:b/>
          <w:bCs/>
        </w:rPr>
        <w:t>Section</w:t>
      </w:r>
      <w:r w:rsidR="00F804A7">
        <w:rPr>
          <w:b/>
          <w:bCs/>
        </w:rPr>
        <w:t>s</w:t>
      </w:r>
      <w:r w:rsidRPr="006A29B0">
        <w:rPr>
          <w:b/>
          <w:bCs/>
        </w:rPr>
        <w:t xml:space="preserve"> I</w:t>
      </w:r>
      <w:r>
        <w:rPr>
          <w:b/>
          <w:bCs/>
        </w:rPr>
        <w:t xml:space="preserve">I and III – </w:t>
      </w:r>
      <w:r w:rsidRPr="006A29B0">
        <w:rPr>
          <w:bCs/>
        </w:rPr>
        <w:t>No change</w:t>
      </w:r>
    </w:p>
    <w:p w:rsidR="006A29B0" w:rsidRPr="006A29B0" w:rsidRDefault="006A29B0" w:rsidP="006A29B0">
      <w:pPr>
        <w:spacing w:before="150" w:line="240" w:lineRule="atLeast"/>
        <w:outlineLvl w:val="1"/>
        <w:rPr>
          <w:bCs/>
        </w:rPr>
      </w:pPr>
    </w:p>
    <w:p w:rsidR="006A29B0" w:rsidRPr="006A29B0" w:rsidRDefault="006A29B0" w:rsidP="006A29B0">
      <w:pPr>
        <w:spacing w:before="150" w:line="240" w:lineRule="atLeast"/>
        <w:outlineLvl w:val="1"/>
        <w:rPr>
          <w:b/>
          <w:bCs/>
        </w:rPr>
      </w:pPr>
      <w:r w:rsidRPr="006A29B0">
        <w:rPr>
          <w:b/>
          <w:bCs/>
        </w:rPr>
        <w:t>Section IV - Incentive Program</w:t>
      </w:r>
    </w:p>
    <w:p w:rsidR="006A29B0" w:rsidRPr="006A29B0" w:rsidRDefault="006A29B0" w:rsidP="006A29B0">
      <w:pPr>
        <w:spacing w:before="150" w:line="240" w:lineRule="atLeast"/>
        <w:outlineLvl w:val="1"/>
        <w:rPr>
          <w:b/>
          <w:bCs/>
        </w:rPr>
      </w:pPr>
    </w:p>
    <w:p w:rsidR="00F804A7" w:rsidRDefault="006A29B0" w:rsidP="006A29B0">
      <w:pPr>
        <w:spacing w:before="15" w:line="240" w:lineRule="atLeast"/>
      </w:pPr>
      <w:r w:rsidRPr="006A29B0">
        <w:rPr>
          <w:b/>
          <w:bCs/>
        </w:rPr>
        <w:t>Purpose</w:t>
      </w:r>
      <w:r w:rsidRPr="006A29B0">
        <w:t>:</w:t>
      </w:r>
    </w:p>
    <w:p w:rsidR="006A29B0" w:rsidRPr="006A29B0" w:rsidRDefault="006A29B0" w:rsidP="006A29B0">
      <w:pPr>
        <w:spacing w:before="15" w:line="240" w:lineRule="atLeast"/>
      </w:pPr>
      <w:r w:rsidRPr="006A29B0">
        <w:t>The purpose of this Program is to incent a number of key participants representing different market sectors who will be Futures Participants or Authorized Customers to enhance liquidity in the Energy Products identified below listed on the Exchange. The resulting increase in liquidity benefits all participants in the market.</w:t>
      </w:r>
    </w:p>
    <w:p w:rsidR="006A29B0" w:rsidRDefault="006A29B0" w:rsidP="006A29B0">
      <w:pPr>
        <w:spacing w:before="15" w:line="240" w:lineRule="atLeast"/>
        <w:rPr>
          <w:b/>
          <w:bCs/>
        </w:rPr>
      </w:pPr>
    </w:p>
    <w:p w:rsidR="006A29B0" w:rsidRPr="006A29B0" w:rsidRDefault="006A29B0" w:rsidP="006A29B0">
      <w:pPr>
        <w:spacing w:before="15" w:line="240" w:lineRule="atLeast"/>
      </w:pPr>
      <w:r w:rsidRPr="006A29B0">
        <w:rPr>
          <w:b/>
          <w:bCs/>
        </w:rPr>
        <w:t>Product Scope:</w:t>
      </w:r>
      <w:r w:rsidRPr="006A29B0">
        <w:t xml:space="preserve"> </w:t>
      </w:r>
    </w:p>
    <w:p w:rsidR="006A29B0" w:rsidRPr="006A29B0" w:rsidRDefault="006A29B0" w:rsidP="006A29B0">
      <w:pPr>
        <w:tabs>
          <w:tab w:val="left" w:pos="1170"/>
        </w:tabs>
        <w:spacing w:line="276" w:lineRule="auto"/>
        <w:contextualSpacing/>
        <w:rPr>
          <w:rFonts w:eastAsiaTheme="minorHAnsi"/>
          <w:bCs/>
        </w:rPr>
      </w:pPr>
      <w:r w:rsidRPr="006A29B0">
        <w:rPr>
          <w:rFonts w:eastAsiaTheme="minorHAnsi"/>
        </w:rPr>
        <w:t xml:space="preserve">The following Contracts are subject to the Program: NFX Brent Crude Financial Futures; </w:t>
      </w:r>
      <w:r w:rsidRPr="006A29B0">
        <w:rPr>
          <w:rFonts w:eastAsiaTheme="minorHAnsi"/>
          <w:bCs/>
        </w:rPr>
        <w:t xml:space="preserve">NFX Brent 1st Line Financial Futures (IBQ); </w:t>
      </w:r>
      <w:r w:rsidRPr="006A29B0">
        <w:rPr>
          <w:bCs/>
        </w:rPr>
        <w:t>NFX Brent 1st Line Mini Financial Futures (IMMQ);</w:t>
      </w:r>
    </w:p>
    <w:p w:rsidR="006A29B0" w:rsidRPr="006A29B0" w:rsidRDefault="006A29B0" w:rsidP="006A29B0">
      <w:pPr>
        <w:tabs>
          <w:tab w:val="left" w:pos="1170"/>
        </w:tabs>
        <w:spacing w:line="276" w:lineRule="auto"/>
        <w:contextualSpacing/>
        <w:rPr>
          <w:b/>
          <w:bCs/>
          <w:u w:val="single"/>
        </w:rPr>
      </w:pPr>
      <w:r w:rsidRPr="006A29B0">
        <w:rPr>
          <w:rFonts w:eastAsiaTheme="minorHAnsi"/>
        </w:rPr>
        <w:t xml:space="preserve">NFX Options on NFX Brent Crude Financial Futures; NFX WTI Crude Oil Financial Futures; NFX Low Sulphur Gasoil Financial Futures; </w:t>
      </w:r>
      <w:r w:rsidRPr="006A29B0">
        <w:rPr>
          <w:rFonts w:eastAsiaTheme="minorHAnsi"/>
          <w:bCs/>
        </w:rPr>
        <w:t xml:space="preserve">NFX Low Sulphur Gasoil 1st Line Financial Futures (ULAQ); </w:t>
      </w:r>
      <w:r w:rsidRPr="006A29B0">
        <w:rPr>
          <w:rFonts w:eastAsiaTheme="minorHAnsi"/>
          <w:bCs/>
          <w:color w:val="000000"/>
        </w:rPr>
        <w:t xml:space="preserve">NFX Gasoil Crack Financial Futures (in BBLS)- Low Sulphur Gasoil 1st Line vs Brent 1st Line (GZQ); </w:t>
      </w:r>
      <w:r w:rsidRPr="006A29B0">
        <w:t xml:space="preserve">NFX Heating Oil Financial Futures; NFX RBOB Gasoline Financial Futures; NFX WTI Crude Oil Penultimate Financial Futures; NFX RBOB Gasoline 1st Line Financial Futures (RBSQ); </w:t>
      </w:r>
      <w:r w:rsidRPr="006A29B0">
        <w:rPr>
          <w:bCs/>
          <w:color w:val="000000"/>
        </w:rPr>
        <w:t xml:space="preserve">NFX Gasoline Crack </w:t>
      </w:r>
      <w:r w:rsidRPr="006A29B0">
        <w:rPr>
          <w:bCs/>
        </w:rPr>
        <w:t xml:space="preserve">Financial Futures (in BBLS) </w:t>
      </w:r>
      <w:r w:rsidRPr="006A29B0">
        <w:rPr>
          <w:bCs/>
          <w:color w:val="000000"/>
        </w:rPr>
        <w:t xml:space="preserve">- RBOB Gasoline 1st Line vs  Brent 1st Line (RBRQ); </w:t>
      </w:r>
      <w:r w:rsidRPr="006A29B0">
        <w:rPr>
          <w:bCs/>
        </w:rPr>
        <w:t xml:space="preserve">NFX WTI 1st Line Financial Futures (RTIQ); NFX WTI 1st Line Mini Financial Futures (RMMQ); </w:t>
      </w:r>
      <w:r w:rsidRPr="006A29B0">
        <w:t xml:space="preserve">NFX Options on NFX WTI Crude Oil Penultimate Financial Futures; NFX Heating Oil Penultimate Financial Futures; NFX Heating Oil 1st Line Financial Futures (HOFQ); NFX RBOB Gasoline Penultimate Financial Futures; NFX Henry Hub Natural Gas Financial Futures - 2,500; NFX Henry Hub Natural Gas Penultimate Financial Futures - 2,500; NFX Henry Hub Natural Gas Financial Futures - 10,000; NFX Henry Hub Natural Gas Penultimate Financial Futures - 10,000; NFX Options on NFX Henry Hub Penultimate Financial Futures - 10,000 (LNQ); NFX CAISO NP-15 Hub Day-Ahead Off-Peak Financial Futures; NFX CAISO NP-15 Hub Day-Ahead Peak </w:t>
      </w:r>
      <w:r w:rsidRPr="00F804A7">
        <w:t xml:space="preserve">Financial Futures; </w:t>
      </w:r>
      <w:r w:rsidRPr="00F804A7">
        <w:rPr>
          <w:u w:val="single"/>
        </w:rPr>
        <w:t>NFX CAISO NP-15 Hub Day-Ahead Peak Mini Financial Futures – 5 MW (NPNQ); NFX CAISO NP-15 Hub Day-Ahead Peak Mini Financial Futures – 1 MW (NPPQ)</w:t>
      </w:r>
      <w:r w:rsidRPr="00F804A7">
        <w:t xml:space="preserve">; NFX CAISO SP-15 Hub Day-Ahead Off-Peak Financial Futures; NFX CAISO SP-15 Hub Day-Ahead Peak Financial Futures; </w:t>
      </w:r>
      <w:r w:rsidRPr="00F804A7">
        <w:rPr>
          <w:u w:val="single"/>
        </w:rPr>
        <w:t xml:space="preserve">NFX </w:t>
      </w:r>
      <w:r w:rsidRPr="00F804A7">
        <w:rPr>
          <w:u w:val="single"/>
        </w:rPr>
        <w:lastRenderedPageBreak/>
        <w:t>CAISO SP-15 Hub Day-Ahead Peak Mini Financial Futures – 5 MW (SPZQ); NFX CAISO SP-15 Hub Day-Ahead Peak Mini Financial Futures – 1 MW (SPVQ);</w:t>
      </w:r>
      <w:r w:rsidRPr="00F804A7">
        <w:t xml:space="preserve"> NFX ISO-NE Massachusetts Hub Day-Ahead Off-Peak Financial Futures; NFX ISO-NE Massachusetts Hub Day-Ahead Peak Financial Futures; </w:t>
      </w:r>
      <w:r w:rsidRPr="00F804A7">
        <w:rPr>
          <w:u w:val="single"/>
        </w:rPr>
        <w:t>NFX ISO-NE Massachusetts Hub Day-Ahead Peak Mini Financial Futures – 5 MW (NMMQ); NFX ISO-NE Massachusetts Hub Day-Ahead Peak Mini Financial Futures – 1 MW (NEMQ)</w:t>
      </w:r>
      <w:r w:rsidRPr="00F804A7">
        <w:t xml:space="preserve">; NFX MISO Indiana Hub Real-Time Off-Peak Financial Futures; NFX MISO Indiana Hub Real-Time Peak Financial Futures; </w:t>
      </w:r>
      <w:r w:rsidRPr="00F804A7">
        <w:rPr>
          <w:u w:val="single"/>
        </w:rPr>
        <w:t xml:space="preserve">NFX MISO Indiana Hub Real-Time Peak Mini Financial Futures – 5 MW (MCHQ); </w:t>
      </w:r>
      <w:r w:rsidRPr="00F804A7">
        <w:rPr>
          <w:u w:val="single"/>
        </w:rPr>
        <w:tab/>
        <w:t>NFX MISO Indiana Hub Real-Time Peak Mini Financial Futures – 1 MW (MCGQ)</w:t>
      </w:r>
      <w:r w:rsidRPr="00F804A7">
        <w:t xml:space="preserve">; NFX PJM AEP Dayton Hub Real-Time Off-Peak Financial Futures; NFX PJM AEP Dayton Hub Real-Time Peak Financial Futures; </w:t>
      </w:r>
      <w:r w:rsidRPr="00F804A7">
        <w:rPr>
          <w:u w:val="single"/>
        </w:rPr>
        <w:t>NFX PJM AEP Dayton Hub Real-Time Peak Mini Financial Futures – 5 MW (MSSQ); NFX PJM AEP Dayton Hub Real-Time Peak Mini Financial Futures – 1 MW (MSTQ)</w:t>
      </w:r>
      <w:r w:rsidRPr="00F804A7">
        <w:t xml:space="preserve">; NFX PJM Northern Illinois Hub Real-Time Off-Peak Financial Futures; NFX PJM Northern Illinois Hub Real-Time Peak Financial Futures; </w:t>
      </w:r>
      <w:r w:rsidRPr="00F804A7">
        <w:rPr>
          <w:u w:val="single"/>
        </w:rPr>
        <w:t>NFX PJM Northern Illinois Hub Real-Time Peak Mini Financial Futures  – 5 MW (PNQQ); NFX PJM Northern Illinois Hub Real-Time Peak Mini Financial Futures  – 1 MW (PNPQ)</w:t>
      </w:r>
      <w:r w:rsidRPr="00F804A7">
        <w:t xml:space="preserve">; NFX PJM Western Hub Day-Ahead Off-Peak Financial Futures; NFX PJM Western Hub Day-Ahead Peak Financial Futures; NFX PJM Western Hub Real-Time Off-Peak Financial Futures; </w:t>
      </w:r>
      <w:r w:rsidRPr="00F804A7">
        <w:rPr>
          <w:u w:val="single"/>
        </w:rPr>
        <w:t>NFX PJM Western Hub Real-Time Off-Peak Mini Financial Futures (OPKQ);</w:t>
      </w:r>
      <w:r w:rsidRPr="00F804A7">
        <w:t xml:space="preserve"> </w:t>
      </w:r>
      <w:r w:rsidRPr="00F804A7">
        <w:rPr>
          <w:strike/>
        </w:rPr>
        <w:t xml:space="preserve">and </w:t>
      </w:r>
      <w:r w:rsidRPr="00F804A7">
        <w:t>NFX PJM Western Hub Real-Time Peak Financial Futures</w:t>
      </w:r>
      <w:r w:rsidRPr="00F804A7">
        <w:rPr>
          <w:u w:val="single"/>
        </w:rPr>
        <w:t>; NFX PJM Western Hub Real-Time Peak Financial Futures – 5 MW (PMJQ); and NFX PJM Western Hub Real-Time Peak Financial Futures – 1 MW (PMIQ).</w:t>
      </w:r>
    </w:p>
    <w:p w:rsidR="006A29B0" w:rsidRPr="006A29B0" w:rsidRDefault="006A29B0" w:rsidP="006A29B0">
      <w:pPr>
        <w:spacing w:before="15" w:line="240" w:lineRule="atLeast"/>
        <w:rPr>
          <w:b/>
          <w:bCs/>
        </w:rPr>
      </w:pPr>
    </w:p>
    <w:p w:rsidR="006A29B0" w:rsidRPr="006A29B0" w:rsidRDefault="006A29B0" w:rsidP="006A29B0">
      <w:pPr>
        <w:spacing w:before="15" w:line="240" w:lineRule="atLeast"/>
      </w:pPr>
      <w:r w:rsidRPr="006A29B0">
        <w:rPr>
          <w:b/>
          <w:bCs/>
        </w:rPr>
        <w:t>Eligible Participants:</w:t>
      </w:r>
      <w:r w:rsidRPr="006A29B0">
        <w:t xml:space="preserve"> </w:t>
      </w:r>
    </w:p>
    <w:p w:rsidR="006A29B0" w:rsidRPr="006A29B0" w:rsidRDefault="006A29B0" w:rsidP="006A29B0">
      <w:pPr>
        <w:spacing w:before="15" w:line="240" w:lineRule="atLeast"/>
      </w:pPr>
      <w:r w:rsidRPr="006A29B0">
        <w:t>Participants are certain Futures Participants or Authorized Customers, subject to the Rules of the Exchange, and must execute a requisite amount of volume on the Exchange to be eligible for incentives.</w:t>
      </w:r>
    </w:p>
    <w:p w:rsidR="00B855EE" w:rsidRDefault="00B855EE" w:rsidP="002A5AEE">
      <w:pPr>
        <w:rPr>
          <w:rFonts w:ascii="Calibri" w:eastAsiaTheme="minorHAnsi" w:hAnsi="Calibri"/>
          <w:color w:val="1F497D"/>
          <w:sz w:val="22"/>
          <w:szCs w:val="22"/>
        </w:rPr>
      </w:pPr>
    </w:p>
    <w:p w:rsidR="00284906" w:rsidRPr="00857230" w:rsidRDefault="00857230" w:rsidP="00857230">
      <w:pPr>
        <w:pStyle w:val="ListParagraph"/>
        <w:numPr>
          <w:ilvl w:val="0"/>
          <w:numId w:val="0"/>
        </w:numPr>
        <w:spacing w:before="150" w:after="15" w:line="240" w:lineRule="atLeast"/>
        <w:ind w:left="2880" w:firstLine="720"/>
        <w:outlineLvl w:val="1"/>
        <w:rPr>
          <w:rFonts w:ascii="Times New Roman" w:hAnsi="Times New Roman"/>
          <w:b/>
          <w:bCs/>
          <w:sz w:val="24"/>
        </w:rPr>
      </w:pPr>
      <w:r w:rsidRPr="00857230">
        <w:rPr>
          <w:rFonts w:ascii="Times New Roman" w:hAnsi="Times New Roman"/>
          <w:b/>
          <w:bCs/>
          <w:sz w:val="24"/>
        </w:rPr>
        <w:t>*   *   *   *   *</w:t>
      </w:r>
    </w:p>
    <w:sectPr w:rsidR="00284906" w:rsidRPr="00857230" w:rsidSect="00BB4738">
      <w:headerReference w:type="default" r:id="rId12"/>
      <w:headerReference w:type="first" r:id="rId13"/>
      <w:footerReference w:type="first" r:id="rId14"/>
      <w:pgSz w:w="12242" w:h="15842" w:code="1"/>
      <w:pgMar w:top="760" w:right="1393" w:bottom="709" w:left="1503" w:header="720" w:footer="720" w:gutter="0"/>
      <w:pgNumType w:start="1"/>
      <w:cols w:space="72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331">
      <wne:macro wne:macroName="NORMAL.NEWMACROS.CONFIDENTIALWATERMARK"/>
    </wne:keymap>
    <wne:keymap wne:kcmPrimary="04BE">
      <wne:macro wne:macroName="NORMAL.NEWMACROS.TEST4FORM"/>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1B" w:rsidRDefault="00D05B1B">
      <w:r>
        <w:separator/>
      </w:r>
    </w:p>
  </w:endnote>
  <w:endnote w:type="continuationSeparator" w:id="0">
    <w:p w:rsidR="00D05B1B" w:rsidRDefault="00D0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Default="009A7D50" w:rsidP="0026070A">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1B" w:rsidRDefault="00D05B1B">
      <w:r>
        <w:separator/>
      </w:r>
    </w:p>
  </w:footnote>
  <w:footnote w:type="continuationSeparator" w:id="0">
    <w:p w:rsidR="00D05B1B" w:rsidRDefault="00D0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Pr="00B67098" w:rsidRDefault="009A7D50" w:rsidP="0026070A">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A7D50" w:rsidRPr="0035344B" w:rsidRDefault="004C1269" w:rsidP="0026070A">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January 22</w:t>
    </w:r>
    <w:r w:rsidR="00E2542C">
      <w:rPr>
        <w:rFonts w:ascii="Times New Roman" w:eastAsia="Calibri" w:hAnsi="Times New Roman" w:cs="Times New Roman"/>
        <w:sz w:val="20"/>
        <w:szCs w:val="20"/>
      </w:rPr>
      <w:t>, 201</w:t>
    </w:r>
    <w:r>
      <w:rPr>
        <w:rFonts w:ascii="Times New Roman" w:eastAsia="Calibri" w:hAnsi="Times New Roman" w:cs="Times New Roman"/>
        <w:sz w:val="20"/>
        <w:szCs w:val="20"/>
      </w:rPr>
      <w:t>6</w:t>
    </w:r>
  </w:p>
  <w:p w:rsidR="0035344B" w:rsidRDefault="003F14C0" w:rsidP="0026070A">
    <w:pPr>
      <w:rPr>
        <w:sz w:val="20"/>
        <w:szCs w:val="20"/>
      </w:rPr>
    </w:pPr>
    <w:r>
      <w:rPr>
        <w:sz w:val="20"/>
        <w:szCs w:val="20"/>
      </w:rPr>
      <w:t>SR-NFX-201</w:t>
    </w:r>
    <w:r w:rsidR="004C1269">
      <w:rPr>
        <w:sz w:val="20"/>
        <w:szCs w:val="20"/>
      </w:rPr>
      <w:t>6</w:t>
    </w:r>
    <w:r w:rsidR="003D21E4">
      <w:rPr>
        <w:sz w:val="20"/>
        <w:szCs w:val="20"/>
      </w:rPr>
      <w:t>-</w:t>
    </w:r>
    <w:r w:rsidR="00416D49">
      <w:rPr>
        <w:sz w:val="20"/>
        <w:szCs w:val="20"/>
      </w:rPr>
      <w:t>09</w:t>
    </w:r>
  </w:p>
  <w:p w:rsidR="009A7D50" w:rsidRPr="00B67098" w:rsidRDefault="009A7D50" w:rsidP="0026070A">
    <w:pPr>
      <w:rPr>
        <w:sz w:val="20"/>
        <w:szCs w:val="20"/>
      </w:rPr>
    </w:pPr>
    <w:r w:rsidRPr="00B67098">
      <w:rPr>
        <w:sz w:val="20"/>
        <w:szCs w:val="20"/>
      </w:rPr>
      <w:t xml:space="preserve">Page </w:t>
    </w:r>
    <w:r w:rsidR="00EC2BE4" w:rsidRPr="00B67098">
      <w:rPr>
        <w:sz w:val="20"/>
        <w:szCs w:val="20"/>
      </w:rPr>
      <w:fldChar w:fldCharType="begin"/>
    </w:r>
    <w:r w:rsidRPr="00B67098">
      <w:rPr>
        <w:sz w:val="20"/>
        <w:szCs w:val="20"/>
      </w:rPr>
      <w:instrText xml:space="preserve"> PAGE   \* MERGEFORMAT </w:instrText>
    </w:r>
    <w:r w:rsidR="00EC2BE4" w:rsidRPr="00B67098">
      <w:rPr>
        <w:sz w:val="20"/>
        <w:szCs w:val="20"/>
      </w:rPr>
      <w:fldChar w:fldCharType="separate"/>
    </w:r>
    <w:r w:rsidR="003D399E">
      <w:rPr>
        <w:noProof/>
        <w:sz w:val="20"/>
        <w:szCs w:val="20"/>
      </w:rPr>
      <w:t>2</w:t>
    </w:r>
    <w:r w:rsidR="00EC2BE4" w:rsidRPr="00B67098">
      <w:rPr>
        <w:sz w:val="20"/>
        <w:szCs w:val="20"/>
      </w:rPr>
      <w:fldChar w:fldCharType="end"/>
    </w:r>
  </w:p>
  <w:p w:rsidR="009A7D50" w:rsidRPr="00B67098" w:rsidRDefault="009A7D50" w:rsidP="0026070A">
    <w:pPr>
      <w:rPr>
        <w:sz w:val="20"/>
        <w:szCs w:val="20"/>
      </w:rPr>
    </w:pPr>
  </w:p>
  <w:p w:rsidR="009A7D50" w:rsidRPr="00B67098" w:rsidRDefault="009A7D50" w:rsidP="0026070A">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50" w:rsidRDefault="002C534D">
    <w:pPr>
      <w:spacing w:after="960"/>
    </w:pPr>
    <w:r>
      <w:rPr>
        <w:noProof/>
      </w:rPr>
      <w:drawing>
        <wp:inline distT="0" distB="0" distL="0" distR="0" wp14:anchorId="6E653A8C" wp14:editId="3C83F59C">
          <wp:extent cx="2782695" cy="491706"/>
          <wp:effectExtent l="0" t="0" r="0" b="3810"/>
          <wp:docPr id="1" name="Picture 1" descr="C:\Users\dunna\AppData\Local\Microsoft\Windows\Temporary Internet Files\Content.Outlook\W47C6ZGL\Nasdaq_Futu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na\AppData\Local\Microsoft\Windows\Temporary Internet Files\Content.Outlook\W47C6ZGL\Nasdaq_Futu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571" cy="4916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D16F0"/>
    <w:multiLevelType w:val="hybridMultilevel"/>
    <w:tmpl w:val="B540FC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E7E9F"/>
    <w:multiLevelType w:val="hybridMultilevel"/>
    <w:tmpl w:val="68785D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A2191"/>
    <w:multiLevelType w:val="hybridMultilevel"/>
    <w:tmpl w:val="C4AEE56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A7"/>
    <w:rsid w:val="000043A4"/>
    <w:rsid w:val="00013DEA"/>
    <w:rsid w:val="00015EA2"/>
    <w:rsid w:val="00030F44"/>
    <w:rsid w:val="00036D59"/>
    <w:rsid w:val="000403DC"/>
    <w:rsid w:val="000673B3"/>
    <w:rsid w:val="000856AE"/>
    <w:rsid w:val="0008620E"/>
    <w:rsid w:val="0009480C"/>
    <w:rsid w:val="000A6835"/>
    <w:rsid w:val="000C6FFD"/>
    <w:rsid w:val="000D270D"/>
    <w:rsid w:val="000D3207"/>
    <w:rsid w:val="000D77D3"/>
    <w:rsid w:val="000E5FA7"/>
    <w:rsid w:val="000F40B5"/>
    <w:rsid w:val="0010004F"/>
    <w:rsid w:val="001032E5"/>
    <w:rsid w:val="001235FE"/>
    <w:rsid w:val="00125087"/>
    <w:rsid w:val="00131DAD"/>
    <w:rsid w:val="00137502"/>
    <w:rsid w:val="00137667"/>
    <w:rsid w:val="0014040C"/>
    <w:rsid w:val="001407C1"/>
    <w:rsid w:val="0015163A"/>
    <w:rsid w:val="001578E4"/>
    <w:rsid w:val="00181440"/>
    <w:rsid w:val="001B0087"/>
    <w:rsid w:val="001B1728"/>
    <w:rsid w:val="001E1161"/>
    <w:rsid w:val="001F0055"/>
    <w:rsid w:val="00210E67"/>
    <w:rsid w:val="002172F1"/>
    <w:rsid w:val="00234CB6"/>
    <w:rsid w:val="00242B19"/>
    <w:rsid w:val="0026070A"/>
    <w:rsid w:val="002640D3"/>
    <w:rsid w:val="002756A1"/>
    <w:rsid w:val="00282D71"/>
    <w:rsid w:val="00284906"/>
    <w:rsid w:val="00287050"/>
    <w:rsid w:val="00291504"/>
    <w:rsid w:val="002A5AEE"/>
    <w:rsid w:val="002B066C"/>
    <w:rsid w:val="002C1BE0"/>
    <w:rsid w:val="002C534D"/>
    <w:rsid w:val="002C5C67"/>
    <w:rsid w:val="002D1647"/>
    <w:rsid w:val="002D57FE"/>
    <w:rsid w:val="002E0EBE"/>
    <w:rsid w:val="002F4BBC"/>
    <w:rsid w:val="00314B47"/>
    <w:rsid w:val="0032471F"/>
    <w:rsid w:val="00331ED2"/>
    <w:rsid w:val="00333930"/>
    <w:rsid w:val="0035344B"/>
    <w:rsid w:val="00354150"/>
    <w:rsid w:val="00354249"/>
    <w:rsid w:val="00370191"/>
    <w:rsid w:val="00375999"/>
    <w:rsid w:val="003771B0"/>
    <w:rsid w:val="00395FEE"/>
    <w:rsid w:val="003C1061"/>
    <w:rsid w:val="003C41EF"/>
    <w:rsid w:val="003C7E63"/>
    <w:rsid w:val="003D21E4"/>
    <w:rsid w:val="003D399E"/>
    <w:rsid w:val="003E7D45"/>
    <w:rsid w:val="003F14C0"/>
    <w:rsid w:val="004106FF"/>
    <w:rsid w:val="0041273B"/>
    <w:rsid w:val="00416D49"/>
    <w:rsid w:val="00420B59"/>
    <w:rsid w:val="00421BDF"/>
    <w:rsid w:val="004253F8"/>
    <w:rsid w:val="00431D7F"/>
    <w:rsid w:val="0043728D"/>
    <w:rsid w:val="0044129A"/>
    <w:rsid w:val="004503EA"/>
    <w:rsid w:val="00450DB2"/>
    <w:rsid w:val="004565B0"/>
    <w:rsid w:val="00470EE4"/>
    <w:rsid w:val="00471211"/>
    <w:rsid w:val="00485A87"/>
    <w:rsid w:val="004B04C6"/>
    <w:rsid w:val="004C1269"/>
    <w:rsid w:val="004C6F48"/>
    <w:rsid w:val="004D121F"/>
    <w:rsid w:val="004D1A2F"/>
    <w:rsid w:val="004D5F0A"/>
    <w:rsid w:val="004E218F"/>
    <w:rsid w:val="004E4591"/>
    <w:rsid w:val="004E5056"/>
    <w:rsid w:val="004F2402"/>
    <w:rsid w:val="00500FC0"/>
    <w:rsid w:val="005369C0"/>
    <w:rsid w:val="00541C75"/>
    <w:rsid w:val="005579D2"/>
    <w:rsid w:val="00557B84"/>
    <w:rsid w:val="00572E78"/>
    <w:rsid w:val="00580418"/>
    <w:rsid w:val="00586D63"/>
    <w:rsid w:val="005958B9"/>
    <w:rsid w:val="005A5739"/>
    <w:rsid w:val="005B5372"/>
    <w:rsid w:val="005C14B2"/>
    <w:rsid w:val="005D6A53"/>
    <w:rsid w:val="00614500"/>
    <w:rsid w:val="00623D49"/>
    <w:rsid w:val="006349AB"/>
    <w:rsid w:val="00644034"/>
    <w:rsid w:val="00655137"/>
    <w:rsid w:val="00656B9F"/>
    <w:rsid w:val="00661480"/>
    <w:rsid w:val="00671514"/>
    <w:rsid w:val="0067278D"/>
    <w:rsid w:val="006760F4"/>
    <w:rsid w:val="00697CED"/>
    <w:rsid w:val="006A0CEA"/>
    <w:rsid w:val="006A2922"/>
    <w:rsid w:val="006A29B0"/>
    <w:rsid w:val="006D0853"/>
    <w:rsid w:val="006D6FB4"/>
    <w:rsid w:val="006F32BD"/>
    <w:rsid w:val="006F7AD0"/>
    <w:rsid w:val="00700887"/>
    <w:rsid w:val="00701616"/>
    <w:rsid w:val="00722839"/>
    <w:rsid w:val="0073719B"/>
    <w:rsid w:val="00737A74"/>
    <w:rsid w:val="0075735C"/>
    <w:rsid w:val="007606D0"/>
    <w:rsid w:val="00770531"/>
    <w:rsid w:val="007808BC"/>
    <w:rsid w:val="007814B6"/>
    <w:rsid w:val="00781AE7"/>
    <w:rsid w:val="007902B8"/>
    <w:rsid w:val="00790D4C"/>
    <w:rsid w:val="00795F4E"/>
    <w:rsid w:val="007A1771"/>
    <w:rsid w:val="007A1851"/>
    <w:rsid w:val="007C0096"/>
    <w:rsid w:val="007C1FE9"/>
    <w:rsid w:val="0081179D"/>
    <w:rsid w:val="008163AD"/>
    <w:rsid w:val="008247D9"/>
    <w:rsid w:val="00833D2E"/>
    <w:rsid w:val="00840364"/>
    <w:rsid w:val="00855220"/>
    <w:rsid w:val="00857230"/>
    <w:rsid w:val="00864675"/>
    <w:rsid w:val="00890E04"/>
    <w:rsid w:val="008A1578"/>
    <w:rsid w:val="008A7601"/>
    <w:rsid w:val="008B0730"/>
    <w:rsid w:val="008B0D60"/>
    <w:rsid w:val="008D0073"/>
    <w:rsid w:val="008D3DBF"/>
    <w:rsid w:val="008E2827"/>
    <w:rsid w:val="00900237"/>
    <w:rsid w:val="00913ED4"/>
    <w:rsid w:val="009163D8"/>
    <w:rsid w:val="00920917"/>
    <w:rsid w:val="00944D48"/>
    <w:rsid w:val="009523B1"/>
    <w:rsid w:val="009567B1"/>
    <w:rsid w:val="00957E3F"/>
    <w:rsid w:val="00973190"/>
    <w:rsid w:val="00976D6D"/>
    <w:rsid w:val="009855D3"/>
    <w:rsid w:val="00985E5A"/>
    <w:rsid w:val="00987D2A"/>
    <w:rsid w:val="00987D71"/>
    <w:rsid w:val="00995B1D"/>
    <w:rsid w:val="009964F5"/>
    <w:rsid w:val="009A4422"/>
    <w:rsid w:val="009A7D50"/>
    <w:rsid w:val="009B7307"/>
    <w:rsid w:val="009E1F6E"/>
    <w:rsid w:val="009F41CE"/>
    <w:rsid w:val="00A050ED"/>
    <w:rsid w:val="00A13FC6"/>
    <w:rsid w:val="00A165FC"/>
    <w:rsid w:val="00A17750"/>
    <w:rsid w:val="00A42BD3"/>
    <w:rsid w:val="00A4332F"/>
    <w:rsid w:val="00A50B5D"/>
    <w:rsid w:val="00A622C1"/>
    <w:rsid w:val="00A814F4"/>
    <w:rsid w:val="00A852EB"/>
    <w:rsid w:val="00AA2F4E"/>
    <w:rsid w:val="00AC263C"/>
    <w:rsid w:val="00AC4CE4"/>
    <w:rsid w:val="00AD1DE8"/>
    <w:rsid w:val="00AD3892"/>
    <w:rsid w:val="00AE2352"/>
    <w:rsid w:val="00AE345E"/>
    <w:rsid w:val="00AE3E14"/>
    <w:rsid w:val="00AF214E"/>
    <w:rsid w:val="00B00182"/>
    <w:rsid w:val="00B01032"/>
    <w:rsid w:val="00B04A09"/>
    <w:rsid w:val="00B12283"/>
    <w:rsid w:val="00B302FC"/>
    <w:rsid w:val="00B855EE"/>
    <w:rsid w:val="00B86676"/>
    <w:rsid w:val="00B9034D"/>
    <w:rsid w:val="00B91D3C"/>
    <w:rsid w:val="00B92C4E"/>
    <w:rsid w:val="00BA2EBC"/>
    <w:rsid w:val="00BB34D3"/>
    <w:rsid w:val="00BB4738"/>
    <w:rsid w:val="00BB4F4A"/>
    <w:rsid w:val="00BB799B"/>
    <w:rsid w:val="00BB7F36"/>
    <w:rsid w:val="00BC23A7"/>
    <w:rsid w:val="00BD010C"/>
    <w:rsid w:val="00BD1C5A"/>
    <w:rsid w:val="00BD6BA8"/>
    <w:rsid w:val="00BF3A96"/>
    <w:rsid w:val="00C07FB6"/>
    <w:rsid w:val="00C14C64"/>
    <w:rsid w:val="00C248FF"/>
    <w:rsid w:val="00C255E6"/>
    <w:rsid w:val="00C30952"/>
    <w:rsid w:val="00C33E50"/>
    <w:rsid w:val="00C47A82"/>
    <w:rsid w:val="00C52503"/>
    <w:rsid w:val="00C55383"/>
    <w:rsid w:val="00C605B1"/>
    <w:rsid w:val="00C637B6"/>
    <w:rsid w:val="00C64F1C"/>
    <w:rsid w:val="00C81E8D"/>
    <w:rsid w:val="00C83264"/>
    <w:rsid w:val="00C91E9D"/>
    <w:rsid w:val="00CA759B"/>
    <w:rsid w:val="00CA7AB3"/>
    <w:rsid w:val="00CB2A1A"/>
    <w:rsid w:val="00CB4B74"/>
    <w:rsid w:val="00CB61E2"/>
    <w:rsid w:val="00CD4291"/>
    <w:rsid w:val="00CF0136"/>
    <w:rsid w:val="00CF2E16"/>
    <w:rsid w:val="00D05B1B"/>
    <w:rsid w:val="00D109B8"/>
    <w:rsid w:val="00D15A4C"/>
    <w:rsid w:val="00D245ED"/>
    <w:rsid w:val="00D42D1C"/>
    <w:rsid w:val="00D5366A"/>
    <w:rsid w:val="00D62038"/>
    <w:rsid w:val="00D73371"/>
    <w:rsid w:val="00D7639F"/>
    <w:rsid w:val="00D8222F"/>
    <w:rsid w:val="00D8490F"/>
    <w:rsid w:val="00DD37A1"/>
    <w:rsid w:val="00DD6544"/>
    <w:rsid w:val="00DF2991"/>
    <w:rsid w:val="00DF452C"/>
    <w:rsid w:val="00E05D8E"/>
    <w:rsid w:val="00E150C4"/>
    <w:rsid w:val="00E15868"/>
    <w:rsid w:val="00E17743"/>
    <w:rsid w:val="00E21454"/>
    <w:rsid w:val="00E2542C"/>
    <w:rsid w:val="00E30981"/>
    <w:rsid w:val="00E41203"/>
    <w:rsid w:val="00E53BE3"/>
    <w:rsid w:val="00E61F3F"/>
    <w:rsid w:val="00E755C8"/>
    <w:rsid w:val="00E91DA9"/>
    <w:rsid w:val="00E93E95"/>
    <w:rsid w:val="00EB352E"/>
    <w:rsid w:val="00EC0513"/>
    <w:rsid w:val="00EC2BE4"/>
    <w:rsid w:val="00EC34E5"/>
    <w:rsid w:val="00EC56D1"/>
    <w:rsid w:val="00EE3DE5"/>
    <w:rsid w:val="00EE7271"/>
    <w:rsid w:val="00EF1AE9"/>
    <w:rsid w:val="00EF2303"/>
    <w:rsid w:val="00F1646B"/>
    <w:rsid w:val="00F302C7"/>
    <w:rsid w:val="00F54823"/>
    <w:rsid w:val="00F678D6"/>
    <w:rsid w:val="00F71194"/>
    <w:rsid w:val="00F804A7"/>
    <w:rsid w:val="00F81AD4"/>
    <w:rsid w:val="00F84AB2"/>
    <w:rsid w:val="00FA0B23"/>
    <w:rsid w:val="00FC79C1"/>
    <w:rsid w:val="00FD4215"/>
    <w:rsid w:val="00FE15F5"/>
    <w:rsid w:val="00FF63E1"/>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qFormat/>
    <w:rsid w:val="00C52503"/>
    <w:pPr>
      <w:keepNext/>
      <w:spacing w:before="240" w:after="240"/>
      <w:ind w:left="720" w:hanging="720"/>
      <w:outlineLvl w:val="0"/>
    </w:pPr>
    <w:rPr>
      <w:rFonts w:cs="Arial"/>
      <w:b/>
      <w:bCs/>
      <w:kern w:val="32"/>
      <w:sz w:val="28"/>
      <w:szCs w:val="32"/>
    </w:rPr>
  </w:style>
  <w:style w:type="paragraph" w:styleId="Heading2">
    <w:name w:val="heading 2"/>
    <w:basedOn w:val="Normal"/>
    <w:next w:val="Normal"/>
    <w:qFormat/>
    <w:rsid w:val="00C52503"/>
    <w:pPr>
      <w:keepNext/>
      <w:spacing w:after="240"/>
      <w:outlineLvl w:val="1"/>
    </w:pPr>
    <w:rPr>
      <w:rFonts w:cs="Arial"/>
      <w:b/>
      <w:bCs/>
      <w:iCs/>
      <w:szCs w:val="28"/>
    </w:rPr>
  </w:style>
  <w:style w:type="paragraph" w:styleId="Heading3">
    <w:name w:val="heading 3"/>
    <w:basedOn w:val="Normal"/>
    <w:next w:val="Normal"/>
    <w:qFormat/>
    <w:rsid w:val="00C52503"/>
    <w:pPr>
      <w:keepNext/>
      <w:spacing w:after="240"/>
      <w:outlineLvl w:val="2"/>
    </w:pPr>
    <w:rPr>
      <w:rFonts w:cs="Arial"/>
      <w:bCs/>
      <w:i/>
      <w:szCs w:val="26"/>
    </w:rPr>
  </w:style>
  <w:style w:type="paragraph" w:styleId="Heading4">
    <w:name w:val="heading 4"/>
    <w:basedOn w:val="Normal"/>
    <w:next w:val="Normal"/>
    <w:qFormat/>
    <w:rsid w:val="00C52503"/>
    <w:pPr>
      <w:keepNext/>
      <w:spacing w:after="240"/>
      <w:ind w:left="720" w:hanging="720"/>
      <w:outlineLvl w:val="3"/>
    </w:pPr>
    <w:rPr>
      <w:bCs/>
      <w:szCs w:val="28"/>
    </w:rPr>
  </w:style>
  <w:style w:type="paragraph" w:styleId="Heading9">
    <w:name w:val="heading 9"/>
    <w:basedOn w:val="Normal"/>
    <w:next w:val="Normal"/>
    <w:link w:val="Heading9Char"/>
    <w:semiHidden/>
    <w:unhideWhenUsed/>
    <w:qFormat/>
    <w:rsid w:val="00015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503"/>
    <w:pPr>
      <w:tabs>
        <w:tab w:val="center" w:pos="4680"/>
        <w:tab w:val="right" w:pos="9360"/>
      </w:tabs>
    </w:pPr>
  </w:style>
  <w:style w:type="paragraph" w:styleId="Footer">
    <w:name w:val="footer"/>
    <w:basedOn w:val="Normal"/>
    <w:rsid w:val="00C52503"/>
    <w:pPr>
      <w:tabs>
        <w:tab w:val="center" w:pos="4680"/>
        <w:tab w:val="right" w:pos="9360"/>
      </w:tabs>
    </w:pPr>
  </w:style>
  <w:style w:type="paragraph" w:styleId="BodyText2">
    <w:name w:val="Body Text 2"/>
    <w:basedOn w:val="Normal"/>
    <w:rsid w:val="00C52503"/>
    <w:pPr>
      <w:spacing w:line="480" w:lineRule="auto"/>
      <w:ind w:firstLine="720"/>
    </w:pPr>
  </w:style>
  <w:style w:type="character" w:styleId="Hyperlink">
    <w:name w:val="Hyperlink"/>
    <w:basedOn w:val="DefaultParagraphFont"/>
    <w:uiPriority w:val="99"/>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NormalWeb">
    <w:name w:val="Normal (Web)"/>
    <w:basedOn w:val="Normal"/>
    <w:unhideWhenUsed/>
    <w:rsid w:val="0035344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35344B"/>
    <w:pPr>
      <w:jc w:val="center"/>
    </w:pPr>
    <w:rPr>
      <w:rFonts w:eastAsia="Arial Unicode MS"/>
      <w:b/>
      <w:bCs/>
    </w:rPr>
  </w:style>
  <w:style w:type="character" w:customStyle="1" w:styleId="TitleChar">
    <w:name w:val="Title Char"/>
    <w:basedOn w:val="DefaultParagraphFont"/>
    <w:link w:val="Title"/>
    <w:rsid w:val="0035344B"/>
    <w:rPr>
      <w:rFonts w:eastAsia="Arial Unicode MS"/>
      <w:b/>
      <w:bCs/>
      <w:sz w:val="24"/>
      <w:szCs w:val="24"/>
    </w:rPr>
  </w:style>
  <w:style w:type="paragraph" w:styleId="BalloonText">
    <w:name w:val="Balloon Text"/>
    <w:basedOn w:val="Normal"/>
    <w:link w:val="BalloonTextChar"/>
    <w:rsid w:val="00013DEA"/>
    <w:rPr>
      <w:rFonts w:ascii="Tahoma" w:hAnsi="Tahoma" w:cs="Tahoma"/>
      <w:sz w:val="16"/>
      <w:szCs w:val="16"/>
    </w:rPr>
  </w:style>
  <w:style w:type="character" w:customStyle="1" w:styleId="BalloonTextChar">
    <w:name w:val="Balloon Text Char"/>
    <w:basedOn w:val="DefaultParagraphFont"/>
    <w:link w:val="BalloonText"/>
    <w:rsid w:val="00013DEA"/>
    <w:rPr>
      <w:rFonts w:ascii="Tahoma" w:hAnsi="Tahoma" w:cs="Tahoma"/>
      <w:sz w:val="16"/>
      <w:szCs w:val="16"/>
    </w:rPr>
  </w:style>
  <w:style w:type="paragraph" w:styleId="FootnoteText">
    <w:name w:val="footnote text"/>
    <w:basedOn w:val="Normal"/>
    <w:link w:val="FootnoteTextChar"/>
    <w:uiPriority w:val="99"/>
    <w:rsid w:val="00015EA2"/>
    <w:rPr>
      <w:sz w:val="20"/>
      <w:szCs w:val="20"/>
    </w:rPr>
  </w:style>
  <w:style w:type="character" w:customStyle="1" w:styleId="FootnoteTextChar">
    <w:name w:val="Footnote Text Char"/>
    <w:basedOn w:val="DefaultParagraphFont"/>
    <w:link w:val="FootnoteText"/>
    <w:uiPriority w:val="99"/>
    <w:rsid w:val="00015EA2"/>
  </w:style>
  <w:style w:type="character" w:styleId="FootnoteReference">
    <w:name w:val="footnote reference"/>
    <w:basedOn w:val="DefaultParagraphFont"/>
    <w:rsid w:val="00015EA2"/>
    <w:rPr>
      <w:vertAlign w:val="superscript"/>
    </w:rPr>
  </w:style>
  <w:style w:type="character" w:customStyle="1" w:styleId="Heading9Char">
    <w:name w:val="Heading 9 Char"/>
    <w:basedOn w:val="DefaultParagraphFont"/>
    <w:link w:val="Heading9"/>
    <w:rsid w:val="00015EA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15EA2"/>
    <w:pPr>
      <w:numPr>
        <w:numId w:val="2"/>
      </w:numPr>
      <w:spacing w:line="260" w:lineRule="atLeast"/>
      <w:contextualSpacing/>
    </w:pPr>
    <w:rPr>
      <w:rFonts w:ascii="Arial Narrow" w:hAnsi="Arial Narrow"/>
      <w:sz w:val="18"/>
      <w:lang w:val="sv-SE"/>
    </w:rPr>
  </w:style>
  <w:style w:type="paragraph" w:customStyle="1" w:styleId="Default">
    <w:name w:val="Default"/>
    <w:rsid w:val="00E61F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503EA"/>
    <w:rPr>
      <w:sz w:val="16"/>
      <w:szCs w:val="16"/>
    </w:rPr>
  </w:style>
  <w:style w:type="paragraph" w:styleId="CommentText">
    <w:name w:val="annotation text"/>
    <w:basedOn w:val="Normal"/>
    <w:link w:val="CommentTextChar"/>
    <w:uiPriority w:val="99"/>
    <w:rsid w:val="004503EA"/>
    <w:rPr>
      <w:sz w:val="20"/>
      <w:szCs w:val="20"/>
    </w:rPr>
  </w:style>
  <w:style w:type="character" w:customStyle="1" w:styleId="CommentTextChar">
    <w:name w:val="Comment Text Char"/>
    <w:basedOn w:val="DefaultParagraphFont"/>
    <w:link w:val="CommentText"/>
    <w:uiPriority w:val="99"/>
    <w:rsid w:val="004503EA"/>
  </w:style>
  <w:style w:type="paragraph" w:styleId="CommentSubject">
    <w:name w:val="annotation subject"/>
    <w:basedOn w:val="CommentText"/>
    <w:next w:val="CommentText"/>
    <w:link w:val="CommentSubjectChar"/>
    <w:rsid w:val="004503EA"/>
    <w:rPr>
      <w:b/>
      <w:bCs/>
    </w:rPr>
  </w:style>
  <w:style w:type="character" w:customStyle="1" w:styleId="CommentSubjectChar">
    <w:name w:val="Comment Subject Char"/>
    <w:basedOn w:val="CommentTextChar"/>
    <w:link w:val="CommentSubject"/>
    <w:rsid w:val="004503EA"/>
    <w:rPr>
      <w:b/>
      <w:bCs/>
    </w:rPr>
  </w:style>
  <w:style w:type="table" w:styleId="TableGrid">
    <w:name w:val="Table Grid"/>
    <w:basedOn w:val="TableNormal"/>
    <w:uiPriority w:val="59"/>
    <w:rsid w:val="00BF3A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70191"/>
    <w:rPr>
      <w:rFonts w:ascii="Calibri" w:eastAsiaTheme="minorHAnsi" w:hAnsi="Calibri"/>
      <w:sz w:val="22"/>
      <w:szCs w:val="22"/>
    </w:rPr>
  </w:style>
  <w:style w:type="character" w:customStyle="1" w:styleId="PlainTextChar">
    <w:name w:val="Plain Text Char"/>
    <w:basedOn w:val="DefaultParagraphFont"/>
    <w:link w:val="PlainText"/>
    <w:uiPriority w:val="99"/>
    <w:rsid w:val="00370191"/>
    <w:rPr>
      <w:rFonts w:ascii="Calibri" w:eastAsiaTheme="minorHAnsi" w:hAnsi="Calibri"/>
      <w:sz w:val="22"/>
      <w:szCs w:val="22"/>
    </w:rPr>
  </w:style>
  <w:style w:type="character" w:styleId="FollowedHyperlink">
    <w:name w:val="FollowedHyperlink"/>
    <w:basedOn w:val="DefaultParagraphFont"/>
    <w:rsid w:val="00913E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03"/>
    <w:rPr>
      <w:sz w:val="24"/>
      <w:szCs w:val="24"/>
    </w:rPr>
  </w:style>
  <w:style w:type="paragraph" w:styleId="Heading1">
    <w:name w:val="heading 1"/>
    <w:basedOn w:val="Normal"/>
    <w:next w:val="Normal"/>
    <w:qFormat/>
    <w:rsid w:val="00C52503"/>
    <w:pPr>
      <w:keepNext/>
      <w:spacing w:before="240" w:after="240"/>
      <w:ind w:left="720" w:hanging="720"/>
      <w:outlineLvl w:val="0"/>
    </w:pPr>
    <w:rPr>
      <w:rFonts w:cs="Arial"/>
      <w:b/>
      <w:bCs/>
      <w:kern w:val="32"/>
      <w:sz w:val="28"/>
      <w:szCs w:val="32"/>
    </w:rPr>
  </w:style>
  <w:style w:type="paragraph" w:styleId="Heading2">
    <w:name w:val="heading 2"/>
    <w:basedOn w:val="Normal"/>
    <w:next w:val="Normal"/>
    <w:qFormat/>
    <w:rsid w:val="00C52503"/>
    <w:pPr>
      <w:keepNext/>
      <w:spacing w:after="240"/>
      <w:outlineLvl w:val="1"/>
    </w:pPr>
    <w:rPr>
      <w:rFonts w:cs="Arial"/>
      <w:b/>
      <w:bCs/>
      <w:iCs/>
      <w:szCs w:val="28"/>
    </w:rPr>
  </w:style>
  <w:style w:type="paragraph" w:styleId="Heading3">
    <w:name w:val="heading 3"/>
    <w:basedOn w:val="Normal"/>
    <w:next w:val="Normal"/>
    <w:qFormat/>
    <w:rsid w:val="00C52503"/>
    <w:pPr>
      <w:keepNext/>
      <w:spacing w:after="240"/>
      <w:outlineLvl w:val="2"/>
    </w:pPr>
    <w:rPr>
      <w:rFonts w:cs="Arial"/>
      <w:bCs/>
      <w:i/>
      <w:szCs w:val="26"/>
    </w:rPr>
  </w:style>
  <w:style w:type="paragraph" w:styleId="Heading4">
    <w:name w:val="heading 4"/>
    <w:basedOn w:val="Normal"/>
    <w:next w:val="Normal"/>
    <w:qFormat/>
    <w:rsid w:val="00C52503"/>
    <w:pPr>
      <w:keepNext/>
      <w:spacing w:after="240"/>
      <w:ind w:left="720" w:hanging="720"/>
      <w:outlineLvl w:val="3"/>
    </w:pPr>
    <w:rPr>
      <w:bCs/>
      <w:szCs w:val="28"/>
    </w:rPr>
  </w:style>
  <w:style w:type="paragraph" w:styleId="Heading9">
    <w:name w:val="heading 9"/>
    <w:basedOn w:val="Normal"/>
    <w:next w:val="Normal"/>
    <w:link w:val="Heading9Char"/>
    <w:semiHidden/>
    <w:unhideWhenUsed/>
    <w:qFormat/>
    <w:rsid w:val="00015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503"/>
    <w:pPr>
      <w:tabs>
        <w:tab w:val="center" w:pos="4680"/>
        <w:tab w:val="right" w:pos="9360"/>
      </w:tabs>
    </w:pPr>
  </w:style>
  <w:style w:type="paragraph" w:styleId="Footer">
    <w:name w:val="footer"/>
    <w:basedOn w:val="Normal"/>
    <w:rsid w:val="00C52503"/>
    <w:pPr>
      <w:tabs>
        <w:tab w:val="center" w:pos="4680"/>
        <w:tab w:val="right" w:pos="9360"/>
      </w:tabs>
    </w:pPr>
  </w:style>
  <w:style w:type="paragraph" w:styleId="BodyText2">
    <w:name w:val="Body Text 2"/>
    <w:basedOn w:val="Normal"/>
    <w:rsid w:val="00C52503"/>
    <w:pPr>
      <w:spacing w:line="480" w:lineRule="auto"/>
      <w:ind w:firstLine="720"/>
    </w:pPr>
  </w:style>
  <w:style w:type="character" w:styleId="Hyperlink">
    <w:name w:val="Hyperlink"/>
    <w:basedOn w:val="DefaultParagraphFont"/>
    <w:uiPriority w:val="99"/>
    <w:rsid w:val="0026070A"/>
    <w:rPr>
      <w:color w:val="808080"/>
      <w:spacing w:val="0"/>
      <w:u w:val="single"/>
    </w:rPr>
  </w:style>
  <w:style w:type="paragraph" w:styleId="NoSpacing">
    <w:name w:val="No Spacing"/>
    <w:uiPriority w:val="1"/>
    <w:qFormat/>
    <w:rsid w:val="0026070A"/>
    <w:rPr>
      <w:rFonts w:asciiTheme="minorHAnsi" w:eastAsiaTheme="minorHAnsi" w:hAnsiTheme="minorHAnsi" w:cstheme="minorBidi"/>
      <w:sz w:val="22"/>
      <w:szCs w:val="22"/>
    </w:rPr>
  </w:style>
  <w:style w:type="paragraph" w:styleId="NormalWeb">
    <w:name w:val="Normal (Web)"/>
    <w:basedOn w:val="Normal"/>
    <w:unhideWhenUsed/>
    <w:rsid w:val="0035344B"/>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35344B"/>
    <w:pPr>
      <w:jc w:val="center"/>
    </w:pPr>
    <w:rPr>
      <w:rFonts w:eastAsia="Arial Unicode MS"/>
      <w:b/>
      <w:bCs/>
    </w:rPr>
  </w:style>
  <w:style w:type="character" w:customStyle="1" w:styleId="TitleChar">
    <w:name w:val="Title Char"/>
    <w:basedOn w:val="DefaultParagraphFont"/>
    <w:link w:val="Title"/>
    <w:rsid w:val="0035344B"/>
    <w:rPr>
      <w:rFonts w:eastAsia="Arial Unicode MS"/>
      <w:b/>
      <w:bCs/>
      <w:sz w:val="24"/>
      <w:szCs w:val="24"/>
    </w:rPr>
  </w:style>
  <w:style w:type="paragraph" w:styleId="BalloonText">
    <w:name w:val="Balloon Text"/>
    <w:basedOn w:val="Normal"/>
    <w:link w:val="BalloonTextChar"/>
    <w:rsid w:val="00013DEA"/>
    <w:rPr>
      <w:rFonts w:ascii="Tahoma" w:hAnsi="Tahoma" w:cs="Tahoma"/>
      <w:sz w:val="16"/>
      <w:szCs w:val="16"/>
    </w:rPr>
  </w:style>
  <w:style w:type="character" w:customStyle="1" w:styleId="BalloonTextChar">
    <w:name w:val="Balloon Text Char"/>
    <w:basedOn w:val="DefaultParagraphFont"/>
    <w:link w:val="BalloonText"/>
    <w:rsid w:val="00013DEA"/>
    <w:rPr>
      <w:rFonts w:ascii="Tahoma" w:hAnsi="Tahoma" w:cs="Tahoma"/>
      <w:sz w:val="16"/>
      <w:szCs w:val="16"/>
    </w:rPr>
  </w:style>
  <w:style w:type="paragraph" w:styleId="FootnoteText">
    <w:name w:val="footnote text"/>
    <w:basedOn w:val="Normal"/>
    <w:link w:val="FootnoteTextChar"/>
    <w:uiPriority w:val="99"/>
    <w:rsid w:val="00015EA2"/>
    <w:rPr>
      <w:sz w:val="20"/>
      <w:szCs w:val="20"/>
    </w:rPr>
  </w:style>
  <w:style w:type="character" w:customStyle="1" w:styleId="FootnoteTextChar">
    <w:name w:val="Footnote Text Char"/>
    <w:basedOn w:val="DefaultParagraphFont"/>
    <w:link w:val="FootnoteText"/>
    <w:uiPriority w:val="99"/>
    <w:rsid w:val="00015EA2"/>
  </w:style>
  <w:style w:type="character" w:styleId="FootnoteReference">
    <w:name w:val="footnote reference"/>
    <w:basedOn w:val="DefaultParagraphFont"/>
    <w:rsid w:val="00015EA2"/>
    <w:rPr>
      <w:vertAlign w:val="superscript"/>
    </w:rPr>
  </w:style>
  <w:style w:type="character" w:customStyle="1" w:styleId="Heading9Char">
    <w:name w:val="Heading 9 Char"/>
    <w:basedOn w:val="DefaultParagraphFont"/>
    <w:link w:val="Heading9"/>
    <w:rsid w:val="00015EA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15EA2"/>
    <w:pPr>
      <w:numPr>
        <w:numId w:val="2"/>
      </w:numPr>
      <w:spacing w:line="260" w:lineRule="atLeast"/>
      <w:contextualSpacing/>
    </w:pPr>
    <w:rPr>
      <w:rFonts w:ascii="Arial Narrow" w:hAnsi="Arial Narrow"/>
      <w:sz w:val="18"/>
      <w:lang w:val="sv-SE"/>
    </w:rPr>
  </w:style>
  <w:style w:type="paragraph" w:customStyle="1" w:styleId="Default">
    <w:name w:val="Default"/>
    <w:rsid w:val="00E61F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503EA"/>
    <w:rPr>
      <w:sz w:val="16"/>
      <w:szCs w:val="16"/>
    </w:rPr>
  </w:style>
  <w:style w:type="paragraph" w:styleId="CommentText">
    <w:name w:val="annotation text"/>
    <w:basedOn w:val="Normal"/>
    <w:link w:val="CommentTextChar"/>
    <w:uiPriority w:val="99"/>
    <w:rsid w:val="004503EA"/>
    <w:rPr>
      <w:sz w:val="20"/>
      <w:szCs w:val="20"/>
    </w:rPr>
  </w:style>
  <w:style w:type="character" w:customStyle="1" w:styleId="CommentTextChar">
    <w:name w:val="Comment Text Char"/>
    <w:basedOn w:val="DefaultParagraphFont"/>
    <w:link w:val="CommentText"/>
    <w:uiPriority w:val="99"/>
    <w:rsid w:val="004503EA"/>
  </w:style>
  <w:style w:type="paragraph" w:styleId="CommentSubject">
    <w:name w:val="annotation subject"/>
    <w:basedOn w:val="CommentText"/>
    <w:next w:val="CommentText"/>
    <w:link w:val="CommentSubjectChar"/>
    <w:rsid w:val="004503EA"/>
    <w:rPr>
      <w:b/>
      <w:bCs/>
    </w:rPr>
  </w:style>
  <w:style w:type="character" w:customStyle="1" w:styleId="CommentSubjectChar">
    <w:name w:val="Comment Subject Char"/>
    <w:basedOn w:val="CommentTextChar"/>
    <w:link w:val="CommentSubject"/>
    <w:rsid w:val="004503EA"/>
    <w:rPr>
      <w:b/>
      <w:bCs/>
    </w:rPr>
  </w:style>
  <w:style w:type="table" w:styleId="TableGrid">
    <w:name w:val="Table Grid"/>
    <w:basedOn w:val="TableNormal"/>
    <w:uiPriority w:val="59"/>
    <w:rsid w:val="00BF3A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70191"/>
    <w:rPr>
      <w:rFonts w:ascii="Calibri" w:eastAsiaTheme="minorHAnsi" w:hAnsi="Calibri"/>
      <w:sz w:val="22"/>
      <w:szCs w:val="22"/>
    </w:rPr>
  </w:style>
  <w:style w:type="character" w:customStyle="1" w:styleId="PlainTextChar">
    <w:name w:val="Plain Text Char"/>
    <w:basedOn w:val="DefaultParagraphFont"/>
    <w:link w:val="PlainText"/>
    <w:uiPriority w:val="99"/>
    <w:rsid w:val="00370191"/>
    <w:rPr>
      <w:rFonts w:ascii="Calibri" w:eastAsiaTheme="minorHAnsi" w:hAnsi="Calibri"/>
      <w:sz w:val="22"/>
      <w:szCs w:val="22"/>
    </w:rPr>
  </w:style>
  <w:style w:type="character" w:styleId="FollowedHyperlink">
    <w:name w:val="FollowedHyperlink"/>
    <w:basedOn w:val="DefaultParagraphFont"/>
    <w:rsid w:val="00913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476">
      <w:bodyDiv w:val="1"/>
      <w:marLeft w:val="0"/>
      <w:marRight w:val="0"/>
      <w:marTop w:val="0"/>
      <w:marBottom w:val="0"/>
      <w:divBdr>
        <w:top w:val="none" w:sz="0" w:space="0" w:color="auto"/>
        <w:left w:val="none" w:sz="0" w:space="0" w:color="auto"/>
        <w:bottom w:val="none" w:sz="0" w:space="0" w:color="auto"/>
        <w:right w:val="none" w:sz="0" w:space="0" w:color="auto"/>
      </w:divBdr>
    </w:div>
    <w:div w:id="452214702">
      <w:bodyDiv w:val="1"/>
      <w:marLeft w:val="0"/>
      <w:marRight w:val="0"/>
      <w:marTop w:val="0"/>
      <w:marBottom w:val="0"/>
      <w:divBdr>
        <w:top w:val="none" w:sz="0" w:space="0" w:color="auto"/>
        <w:left w:val="none" w:sz="0" w:space="0" w:color="auto"/>
        <w:bottom w:val="none" w:sz="0" w:space="0" w:color="auto"/>
        <w:right w:val="none" w:sz="0" w:space="0" w:color="auto"/>
      </w:divBdr>
    </w:div>
    <w:div w:id="975838997">
      <w:bodyDiv w:val="1"/>
      <w:marLeft w:val="0"/>
      <w:marRight w:val="0"/>
      <w:marTop w:val="0"/>
      <w:marBottom w:val="0"/>
      <w:divBdr>
        <w:top w:val="none" w:sz="0" w:space="0" w:color="auto"/>
        <w:left w:val="none" w:sz="0" w:space="0" w:color="auto"/>
        <w:bottom w:val="none" w:sz="0" w:space="0" w:color="auto"/>
        <w:right w:val="none" w:sz="0" w:space="0" w:color="auto"/>
      </w:divBdr>
    </w:div>
    <w:div w:id="20415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20" Type="http://schemas.openxmlformats.org/officeDocument/2006/relationships/customXml" Target="../customXml/item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usiness.nasdaq.com/nasdaq-futures/nfx-market"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23d39d19-16d5-40b7-9c9a-89a5507f43ac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2016-01-22T22:15:59+00:00</Document_x0020_Date>
    <Document_x0020_No xmlns="4b47aac5-4c46-444f-8595-ce09b406fc61">22233</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CF28E-1297-4C62-8FB1-B5CEA29CDF47}"/>
</file>

<file path=customXml/itemProps2.xml><?xml version="1.0" encoding="utf-8"?>
<ds:datastoreItem xmlns:ds="http://schemas.openxmlformats.org/officeDocument/2006/customXml" ds:itemID="{AC97A9C4-3C27-4774-99A0-271BABB6902C}"/>
</file>

<file path=customXml/itemProps3.xml><?xml version="1.0" encoding="utf-8"?>
<ds:datastoreItem xmlns:ds="http://schemas.openxmlformats.org/officeDocument/2006/customXml" ds:itemID="{0AD03081-CA87-48AF-9D62-85FD947AD60E}"/>
</file>

<file path=customXml/itemProps4.xml><?xml version="1.0" encoding="utf-8"?>
<ds:datastoreItem xmlns:ds="http://schemas.openxmlformats.org/officeDocument/2006/customXml" ds:itemID="{98E7D1B5-7D93-4A87-B129-D7E9E3E01110}"/>
</file>

<file path=customXml/itemProps5.xml><?xml version="1.0" encoding="utf-8"?>
<ds:datastoreItem xmlns:ds="http://schemas.openxmlformats.org/officeDocument/2006/customXml" ds:itemID="{3A6D8B76-1A80-47A7-BDBA-F3ECD759F9E6}"/>
</file>

<file path=docProps/app.xml><?xml version="1.0" encoding="utf-8"?>
<Properties xmlns="http://schemas.openxmlformats.org/officeDocument/2006/extended-properties" xmlns:vt="http://schemas.openxmlformats.org/officeDocument/2006/docPropsVTypes">
  <Template>Normal.dotm</Template>
  <TotalTime>1</TotalTime>
  <Pages>6</Pages>
  <Words>1864</Words>
  <Characters>10628</Characters>
  <Application>Microsoft Office Word</Application>
  <DocSecurity>6</DocSecurity>
  <Lines>88</Lines>
  <Paragraphs>24</Paragraphs>
  <ScaleCrop>false</ScaleCrop>
  <HeadingPairs>
    <vt:vector size="2" baseType="variant">
      <vt:variant>
        <vt:lpstr>Title</vt:lpstr>
      </vt:variant>
      <vt:variant>
        <vt:i4>1</vt:i4>
      </vt:variant>
    </vt:vector>
  </HeadingPairs>
  <TitlesOfParts>
    <vt:vector size="1" baseType="lpstr">
      <vt:lpstr>SUBMISSION COVER SHEET</vt:lpstr>
    </vt:vector>
  </TitlesOfParts>
  <Company>CFTC</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Eileen Chotiner</dc:creator>
  <cp:lastModifiedBy>Shari Brafdord</cp:lastModifiedBy>
  <cp:revision>2</cp:revision>
  <cp:lastPrinted>2015-03-11T15:39:00Z</cp:lastPrinted>
  <dcterms:created xsi:type="dcterms:W3CDTF">2016-01-22T22:12:00Z</dcterms:created>
  <dcterms:modified xsi:type="dcterms:W3CDTF">2016-01-22T22:12:00Z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2140300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