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EE" w:rsidRDefault="004346EE"/>
    <w:p w:rsidR="004346EE" w:rsidRDefault="004346EE">
      <w:pPr>
        <w:widowControl w:val="0"/>
        <w:tabs>
          <w:tab w:val="center" w:pos="-630"/>
        </w:tabs>
        <w:jc w:val="center"/>
        <w:rPr>
          <w:rFonts w:ascii="Arial" w:hAnsi="Arial"/>
          <w:b/>
          <w:bCs/>
          <w:spacing w:val="46"/>
        </w:rPr>
      </w:pPr>
      <w:r>
        <w:rPr>
          <w:rFonts w:ascii="Arial" w:hAnsi="Arial"/>
          <w:b/>
          <w:bCs/>
          <w:spacing w:val="46"/>
        </w:rPr>
        <w:t>MEMORANDUM</w:t>
      </w:r>
    </w:p>
    <w:p w:rsidR="004346EE" w:rsidRDefault="004346EE">
      <w:pPr>
        <w:widowControl w:val="0"/>
        <w:tabs>
          <w:tab w:val="center" w:pos="-630"/>
        </w:tabs>
        <w:rPr>
          <w:rFonts w:ascii="Arial" w:hAnsi="Arial"/>
        </w:rPr>
      </w:pPr>
    </w:p>
    <w:p w:rsidR="004346EE" w:rsidRDefault="004346EE">
      <w:pPr>
        <w:widowControl w:val="0"/>
        <w:rPr>
          <w:rFonts w:ascii="Arial" w:hAnsi="Arial"/>
        </w:rPr>
      </w:pPr>
    </w:p>
    <w:tbl>
      <w:tblPr>
        <w:tblW w:w="0" w:type="auto"/>
        <w:tblInd w:w="108" w:type="dxa"/>
        <w:tblLook w:val="0000"/>
      </w:tblPr>
      <w:tblGrid>
        <w:gridCol w:w="1530"/>
        <w:gridCol w:w="7740"/>
      </w:tblGrid>
      <w:tr w:rsidR="004346EE">
        <w:tc>
          <w:tcPr>
            <w:tcW w:w="1530" w:type="dxa"/>
          </w:tcPr>
          <w:p w:rsidR="004346EE" w:rsidRDefault="004346EE">
            <w:pPr>
              <w:widowControl w:val="0"/>
              <w:tabs>
                <w:tab w:val="left" w:pos="1440"/>
              </w:tabs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TO:</w:t>
            </w:r>
            <w:r>
              <w:rPr>
                <w:rFonts w:ascii="Arial" w:hAnsi="Arial"/>
                <w:b/>
                <w:bCs/>
              </w:rPr>
              <w:tab/>
            </w:r>
          </w:p>
        </w:tc>
        <w:tc>
          <w:tcPr>
            <w:tcW w:w="7740" w:type="dxa"/>
          </w:tcPr>
          <w:p w:rsidR="004346EE" w:rsidRDefault="001D7A8D" w:rsidP="001D7A8D">
            <w:pPr>
              <w:widowControl w:val="0"/>
              <w:tabs>
                <w:tab w:val="left" w:pos="1440"/>
              </w:tabs>
            </w:pPr>
            <w:r>
              <w:t>Comment File for Proposed Risk Management Requirements for Derivatives Clearing Organizations (76 FR 3698, Jan. 20, 2011)</w:t>
            </w:r>
          </w:p>
        </w:tc>
      </w:tr>
      <w:tr w:rsidR="004346EE">
        <w:tc>
          <w:tcPr>
            <w:tcW w:w="1530" w:type="dxa"/>
          </w:tcPr>
          <w:p w:rsidR="004346EE" w:rsidRDefault="004346EE">
            <w:pPr>
              <w:widowControl w:val="0"/>
              <w:tabs>
                <w:tab w:val="left" w:pos="1440"/>
              </w:tabs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4346EE" w:rsidRDefault="004346EE">
            <w:pPr>
              <w:widowControl w:val="0"/>
              <w:tabs>
                <w:tab w:val="left" w:pos="1440"/>
              </w:tabs>
            </w:pPr>
          </w:p>
        </w:tc>
      </w:tr>
      <w:tr w:rsidR="004346EE">
        <w:tc>
          <w:tcPr>
            <w:tcW w:w="1530" w:type="dxa"/>
          </w:tcPr>
          <w:p w:rsidR="004346EE" w:rsidRDefault="004346EE">
            <w:pPr>
              <w:widowControl w:val="0"/>
              <w:tabs>
                <w:tab w:val="left" w:pos="1440"/>
              </w:tabs>
            </w:pPr>
            <w:r>
              <w:rPr>
                <w:rFonts w:ascii="Arial" w:hAnsi="Arial"/>
                <w:b/>
                <w:bCs/>
              </w:rPr>
              <w:t>FROM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740" w:type="dxa"/>
          </w:tcPr>
          <w:p w:rsidR="004346EE" w:rsidRDefault="001D7A8D">
            <w:pPr>
              <w:widowControl w:val="0"/>
              <w:tabs>
                <w:tab w:val="left" w:pos="1440"/>
              </w:tabs>
            </w:pPr>
            <w:r>
              <w:t>Phyllis Dietz</w:t>
            </w:r>
          </w:p>
        </w:tc>
      </w:tr>
      <w:tr w:rsidR="004346EE">
        <w:tc>
          <w:tcPr>
            <w:tcW w:w="1530" w:type="dxa"/>
          </w:tcPr>
          <w:p w:rsidR="004346EE" w:rsidRDefault="004346EE">
            <w:pPr>
              <w:widowControl w:val="0"/>
              <w:tabs>
                <w:tab w:val="left" w:pos="1440"/>
              </w:tabs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4346EE" w:rsidRDefault="004346EE">
            <w:pPr>
              <w:widowControl w:val="0"/>
              <w:tabs>
                <w:tab w:val="left" w:pos="1440"/>
              </w:tabs>
            </w:pPr>
          </w:p>
        </w:tc>
      </w:tr>
      <w:tr w:rsidR="004346EE">
        <w:tc>
          <w:tcPr>
            <w:tcW w:w="1530" w:type="dxa"/>
          </w:tcPr>
          <w:p w:rsidR="004346EE" w:rsidRDefault="004346EE">
            <w:pPr>
              <w:widowControl w:val="0"/>
              <w:tabs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DATE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740" w:type="dxa"/>
          </w:tcPr>
          <w:p w:rsidR="004346EE" w:rsidRDefault="001D7A8D" w:rsidP="005C4AAA">
            <w:pPr>
              <w:widowControl w:val="0"/>
              <w:tabs>
                <w:tab w:val="left" w:pos="1440"/>
              </w:tabs>
            </w:pPr>
            <w:r>
              <w:t>March 1</w:t>
            </w:r>
            <w:r w:rsidR="005C4AAA">
              <w:t>5</w:t>
            </w:r>
            <w:r>
              <w:t>, 2011</w:t>
            </w:r>
          </w:p>
        </w:tc>
      </w:tr>
      <w:tr w:rsidR="004346EE">
        <w:tc>
          <w:tcPr>
            <w:tcW w:w="1530" w:type="dxa"/>
          </w:tcPr>
          <w:p w:rsidR="004346EE" w:rsidRDefault="004346EE">
            <w:pPr>
              <w:widowControl w:val="0"/>
              <w:tabs>
                <w:tab w:val="left" w:pos="1440"/>
              </w:tabs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4346EE" w:rsidRDefault="004346EE">
            <w:pPr>
              <w:widowControl w:val="0"/>
              <w:tabs>
                <w:tab w:val="left" w:pos="1440"/>
              </w:tabs>
            </w:pPr>
          </w:p>
        </w:tc>
      </w:tr>
      <w:tr w:rsidR="004346EE">
        <w:tc>
          <w:tcPr>
            <w:tcW w:w="1530" w:type="dxa"/>
          </w:tcPr>
          <w:p w:rsidR="004346EE" w:rsidRDefault="004346EE">
            <w:pPr>
              <w:widowControl w:val="0"/>
              <w:tabs>
                <w:tab w:val="left" w:pos="1440"/>
              </w:tabs>
            </w:pPr>
            <w:r>
              <w:rPr>
                <w:rFonts w:ascii="Arial" w:hAnsi="Arial"/>
                <w:b/>
                <w:bCs/>
              </w:rPr>
              <w:t>SUBJECT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740" w:type="dxa"/>
          </w:tcPr>
          <w:p w:rsidR="004346EE" w:rsidRDefault="001D7A8D" w:rsidP="001D7A8D">
            <w:pPr>
              <w:widowControl w:val="0"/>
              <w:tabs>
                <w:tab w:val="left" w:pos="1440"/>
              </w:tabs>
            </w:pPr>
            <w:r>
              <w:t>Phone call with representatives of the Futures Industry Association (FIA) regarding proposed Regulation 39.12(b)(4)(ii)</w:t>
            </w:r>
          </w:p>
        </w:tc>
      </w:tr>
    </w:tbl>
    <w:p w:rsidR="004346EE" w:rsidRDefault="001D7A8D">
      <w:r>
        <w:t>_____________________________________________________________________________</w:t>
      </w:r>
    </w:p>
    <w:p w:rsidR="004346EE" w:rsidRDefault="003A299A">
      <w:r>
        <w:fldChar w:fldCharType="begin"/>
      </w:r>
      <w:r w:rsidR="004346EE">
        <w:instrText xml:space="preserve"> GOTOBUTTON </w:instrText>
      </w:r>
      <w:r>
        <w:fldChar w:fldCharType="end"/>
      </w:r>
    </w:p>
    <w:p w:rsidR="001D7A8D" w:rsidRDefault="001D7A8D">
      <w:r>
        <w:rPr>
          <w:noProof/>
        </w:rPr>
        <w:t xml:space="preserve">On March 14, 2011, at 5:00 p.m. EDT, staff of the CFTC Division of Clearing and Intermeidary Oversight </w:t>
      </w:r>
      <w:r w:rsidR="005C4AAA">
        <w:rPr>
          <w:noProof/>
        </w:rPr>
        <w:t xml:space="preserve">(DCIO) </w:t>
      </w:r>
      <w:r>
        <w:rPr>
          <w:noProof/>
        </w:rPr>
        <w:t xml:space="preserve">and representatives of the FIA participated in a conference call at the request of FIA.  The topic was the novation provision set forth in proposed </w:t>
      </w:r>
      <w:r>
        <w:t>Regulation 39.12(b)(4)(ii).  To the extent that th</w:t>
      </w:r>
      <w:r w:rsidR="00CE4777">
        <w:t>e</w:t>
      </w:r>
      <w:r w:rsidR="005C4AAA">
        <w:t xml:space="preserve"> proposed rule text may be </w:t>
      </w:r>
      <w:r w:rsidR="00CE4777">
        <w:t>ambigu</w:t>
      </w:r>
      <w:r w:rsidR="005C4AAA">
        <w:t xml:space="preserve">ous, </w:t>
      </w:r>
      <w:r>
        <w:t>the FIA was invited to submit a written comment with suggested revised language.</w:t>
      </w:r>
    </w:p>
    <w:p w:rsidR="001D7A8D" w:rsidRDefault="001D7A8D"/>
    <w:p w:rsidR="001D7A8D" w:rsidRDefault="001D7A8D">
      <w:r w:rsidRPr="00CE4777">
        <w:rPr>
          <w:u w:val="single"/>
        </w:rPr>
        <w:t>Participants</w:t>
      </w:r>
      <w:r>
        <w:t>:</w:t>
      </w:r>
    </w:p>
    <w:p w:rsidR="00CE4777" w:rsidRDefault="00CE4777"/>
    <w:p w:rsidR="001D7A8D" w:rsidRDefault="001D7A8D">
      <w:r>
        <w:t>CFTC: John Lawton, Phyllis Dietz, Anne Polaski</w:t>
      </w:r>
    </w:p>
    <w:p w:rsidR="00CE4777" w:rsidRDefault="00CE4777" w:rsidP="00CE4777"/>
    <w:p w:rsidR="00CE4777" w:rsidRPr="00CE4777" w:rsidRDefault="00CE4777" w:rsidP="00CE4777">
      <w:pPr>
        <w:rPr>
          <w:color w:val="000000" w:themeColor="text1"/>
        </w:rPr>
      </w:pPr>
      <w:r>
        <w:t xml:space="preserve">FIA: Kevin Foley, </w:t>
      </w:r>
      <w:proofErr w:type="spellStart"/>
      <w:r>
        <w:rPr>
          <w:color w:val="000000"/>
        </w:rPr>
        <w:t>Katten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Muchin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Rosenman</w:t>
      </w:r>
      <w:proofErr w:type="spellEnd"/>
      <w:r>
        <w:rPr>
          <w:color w:val="000000"/>
        </w:rPr>
        <w:t xml:space="preserve"> LLP; </w:t>
      </w:r>
      <w:r w:rsidRPr="00CE4777">
        <w:rPr>
          <w:color w:val="000000" w:themeColor="text1"/>
        </w:rPr>
        <w:t xml:space="preserve">Maria </w:t>
      </w:r>
      <w:proofErr w:type="spellStart"/>
      <w:r w:rsidRPr="00CE4777">
        <w:rPr>
          <w:color w:val="000000" w:themeColor="text1"/>
        </w:rPr>
        <w:t>Chiodi</w:t>
      </w:r>
      <w:proofErr w:type="spellEnd"/>
      <w:r w:rsidRPr="00CE4777">
        <w:rPr>
          <w:color w:val="000000" w:themeColor="text1"/>
        </w:rPr>
        <w:t xml:space="preserve">, Credit Suisse; Bonnie </w:t>
      </w:r>
      <w:proofErr w:type="spellStart"/>
      <w:r w:rsidRPr="00CE4777">
        <w:rPr>
          <w:color w:val="000000" w:themeColor="text1"/>
        </w:rPr>
        <w:t>Litt</w:t>
      </w:r>
      <w:proofErr w:type="spellEnd"/>
      <w:r w:rsidRPr="00CE4777">
        <w:rPr>
          <w:color w:val="000000" w:themeColor="text1"/>
        </w:rPr>
        <w:t xml:space="preserve">, Goldman Sachs &amp; Co.; David Sturm, JP Morgan Futures, Inc.; and Lou </w:t>
      </w:r>
      <w:proofErr w:type="spellStart"/>
      <w:r w:rsidRPr="00CE4777">
        <w:rPr>
          <w:color w:val="000000" w:themeColor="text1"/>
        </w:rPr>
        <w:t>DiCerbo</w:t>
      </w:r>
      <w:proofErr w:type="spellEnd"/>
      <w:r w:rsidRPr="00CE4777">
        <w:rPr>
          <w:color w:val="000000" w:themeColor="text1"/>
        </w:rPr>
        <w:t>, Bank of America Merrill Lynch.</w:t>
      </w:r>
    </w:p>
    <w:sectPr w:rsidR="00CE4777" w:rsidRPr="00CE4777" w:rsidSect="003D3571">
      <w:footerReference w:type="even" r:id="rId6"/>
      <w:footerReference w:type="default" r:id="rId7"/>
      <w:headerReference w:type="first" r:id="rId8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01" w:rsidRDefault="00705101">
      <w:r>
        <w:separator/>
      </w:r>
    </w:p>
  </w:endnote>
  <w:endnote w:type="continuationSeparator" w:id="0">
    <w:p w:rsidR="00705101" w:rsidRDefault="0070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1" w:rsidRDefault="003A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51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101" w:rsidRDefault="007051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1" w:rsidRDefault="003A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51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101">
      <w:rPr>
        <w:rStyle w:val="PageNumber"/>
        <w:noProof/>
      </w:rPr>
      <w:t>2</w:t>
    </w:r>
    <w:r>
      <w:rPr>
        <w:rStyle w:val="PageNumber"/>
      </w:rPr>
      <w:fldChar w:fldCharType="end"/>
    </w:r>
  </w:p>
  <w:p w:rsidR="00705101" w:rsidRDefault="00705101">
    <w:pPr>
      <w:pStyle w:val="Footer"/>
      <w:ind w:right="360"/>
    </w:pPr>
    <w:r>
      <w:rPr>
        <w:rFonts w:ascii="Arial" w:hAnsi="Arial" w:cs="Arial"/>
        <w:b/>
        <w:bCs/>
        <w:sz w:val="16"/>
      </w:rPr>
      <w:t>DRAFT</w:t>
    </w:r>
    <w:r>
      <w:rPr>
        <w:rFonts w:ascii="Arial" w:hAnsi="Arial" w:cs="Arial"/>
        <w:sz w:val="16"/>
      </w:rPr>
      <w:t xml:space="preserve"> [</w:t>
    </w:r>
    <w:r w:rsidR="003A299A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\p </w:instrText>
    </w:r>
    <w:r w:rsidR="003A299A">
      <w:rPr>
        <w:rFonts w:ascii="Arial" w:hAnsi="Arial" w:cs="Arial"/>
        <w:sz w:val="16"/>
      </w:rPr>
      <w:fldChar w:fldCharType="separate"/>
    </w:r>
    <w:r w:rsidR="000D4106">
      <w:rPr>
        <w:rFonts w:ascii="Arial" w:hAnsi="Arial" w:cs="Arial"/>
        <w:noProof/>
        <w:sz w:val="16"/>
      </w:rPr>
      <w:t>H:\Core Principles Rlemaking\File memo FIA 3-14-11.docx</w:t>
    </w:r>
    <w:r w:rsidR="003A299A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] (</w:t>
    </w:r>
    <w:r w:rsidR="003A299A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 w:rsidR="003A299A">
      <w:rPr>
        <w:rFonts w:ascii="Arial" w:hAnsi="Arial" w:cs="Arial"/>
        <w:sz w:val="16"/>
      </w:rPr>
      <w:fldChar w:fldCharType="separate"/>
    </w:r>
    <w:r w:rsidR="000D4106">
      <w:rPr>
        <w:rFonts w:ascii="Arial" w:hAnsi="Arial" w:cs="Arial"/>
        <w:noProof/>
        <w:sz w:val="16"/>
      </w:rPr>
      <w:t>3/15/2011</w:t>
    </w:r>
    <w:r w:rsidR="003A299A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 w:rsidR="003A299A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 AM/PM" </w:instrText>
    </w:r>
    <w:r w:rsidR="003A299A">
      <w:rPr>
        <w:rFonts w:ascii="Arial" w:hAnsi="Arial" w:cs="Arial"/>
        <w:sz w:val="16"/>
      </w:rPr>
      <w:fldChar w:fldCharType="separate"/>
    </w:r>
    <w:r w:rsidR="000D4106">
      <w:rPr>
        <w:rFonts w:ascii="Arial" w:hAnsi="Arial" w:cs="Arial"/>
        <w:noProof/>
        <w:sz w:val="16"/>
      </w:rPr>
      <w:t>8:45 AM</w:t>
    </w:r>
    <w:r w:rsidR="003A299A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01" w:rsidRDefault="00705101">
      <w:r>
        <w:separator/>
      </w:r>
    </w:p>
  </w:footnote>
  <w:footnote w:type="continuationSeparator" w:id="0">
    <w:p w:rsidR="00705101" w:rsidRDefault="0070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01" w:rsidRDefault="003A299A">
    <w:pPr>
      <w:pStyle w:val="Header"/>
    </w:pPr>
    <w:r w:rsidRPr="003A299A">
      <w:rPr>
        <w:noProof/>
        <w:sz w:val="20"/>
      </w:rPr>
      <w:pict>
        <v:group id="_x0000_s2050" style="position:absolute;margin-left:-49.95pt;margin-top:0;width:135pt;height:126.2pt;z-index:251658240" coordorigin="441,720" coordsize="2700,252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41;top:2524;width:2700;height:720" filled="f" stroked="f">
            <v:textbox style="mso-next-textbox:#_x0000_s2051">
              <w:txbxContent>
                <w:p w:rsidR="00705101" w:rsidRDefault="00705101">
                  <w:pPr>
                    <w:pStyle w:val="LetterheadDivision"/>
                    <w:rPr>
                      <w:sz w:val="20"/>
                    </w:rPr>
                  </w:pPr>
                  <w:r>
                    <w:rPr>
                      <w:sz w:val="20"/>
                    </w:rPr>
                    <w:t>Division of Clearing and</w:t>
                  </w:r>
                </w:p>
                <w:p w:rsidR="00705101" w:rsidRDefault="00705101">
                  <w:pPr>
                    <w:pStyle w:val="LetterheadDivision"/>
                  </w:pPr>
                  <w:r>
                    <w:rPr>
                      <w:sz w:val="20"/>
                    </w:rPr>
                    <w:t>Intermediary Oversight</w:t>
                  </w:r>
                </w:p>
              </w:txbxContent>
            </v:textbox>
          </v:shape>
          <v:shape id="_x0000_s2052" type="#_x0000_t202" style="position:absolute;left:720;top:720;width:2062;height:1796;mso-position-horizontal-relative:page;mso-position-vertical-relative:page" filled="f" stroked="f">
            <v:textbox style="mso-next-textbox:#_x0000_s2052">
              <w:txbxContent>
                <w:p w:rsidR="00705101" w:rsidRDefault="00705101">
                  <w:pPr>
                    <w:rPr>
                      <w:rFonts w:ascii="Arial" w:hAnsi="Arial"/>
                      <w:noProof/>
                    </w:rPr>
                  </w:pPr>
                  <w:r>
                    <w:object w:dxaOrig="6749" w:dyaOrig="62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8.7pt;height:82.35pt" o:ole="">
                        <v:imagedata r:id="rId1" o:title=""/>
                      </v:shape>
                      <o:OLEObject Type="Embed" ProgID="PBrush" ShapeID="_x0000_i1026" DrawAspect="Content" ObjectID="_1361683978" r:id="rId2"/>
                    </w:object>
                  </w:r>
                </w:p>
                <w:p w:rsidR="00705101" w:rsidRDefault="00705101"/>
              </w:txbxContent>
            </v:textbox>
          </v:shape>
        </v:group>
      </w:pict>
    </w:r>
    <w:r w:rsidRPr="003A299A">
      <w:rPr>
        <w:noProof/>
        <w:sz w:val="20"/>
      </w:rPr>
      <w:pict>
        <v:shape id="_x0000_s2049" type="#_x0000_t202" style="position:absolute;margin-left:49.05pt;margin-top:-17.8pt;width:369pt;height:99pt;z-index:-251659264;mso-wrap-edited:f;mso-position-horizontal-relative:margin" wrapcoords="0 0 21600 0 21600 21600 0 21600 0 0" filled="f" stroked="f">
          <v:textbox style="mso-next-textbox:#_x0000_s2049">
            <w:txbxContent>
              <w:p w:rsidR="00705101" w:rsidRDefault="00705101">
                <w:pPr>
                  <w:widowControl w:val="0"/>
                  <w:tabs>
                    <w:tab w:val="center" w:pos="-630"/>
                  </w:tabs>
                  <w:rPr>
                    <w:rFonts w:ascii="Arial" w:hAnsi="Arial"/>
                  </w:rPr>
                </w:pPr>
              </w:p>
              <w:p w:rsidR="00705101" w:rsidRDefault="00705101">
                <w:pPr>
                  <w:widowControl w:val="0"/>
                  <w:tabs>
                    <w:tab w:val="center" w:pos="-720"/>
                  </w:tabs>
                  <w:spacing w:before="40"/>
                  <w:jc w:val="center"/>
                  <w:rPr>
                    <w:rFonts w:ascii="Arial" w:hAnsi="Arial"/>
                    <w:sz w:val="34"/>
                  </w:rPr>
                </w:pPr>
                <w:smartTag w:uri="urn:schemas-microsoft-com:office:smarttags" w:element="country-region">
                  <w:smartTag w:uri="urn:schemas-microsoft-com:office:smarttags" w:element="place">
                    <w:r>
                      <w:rPr>
                        <w:rFonts w:ascii="Arial" w:hAnsi="Arial"/>
                        <w:b/>
                      </w:rPr>
                      <w:t>U.S.</w:t>
                    </w:r>
                  </w:smartTag>
                </w:smartTag>
                <w:r>
                  <w:rPr>
                    <w:rFonts w:ascii="Arial" w:hAnsi="Arial"/>
                    <w:b/>
                  </w:rPr>
                  <w:t xml:space="preserve"> COMMODITY FUTURES TRADING COMMISSION</w:t>
                </w:r>
              </w:p>
              <w:p w:rsidR="00705101" w:rsidRDefault="00705101">
                <w:pPr>
                  <w:pStyle w:val="letterheadaddress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Three </w:t>
                </w: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 w:val="20"/>
                      </w:rPr>
                      <w:t>Lafayette</w:t>
                    </w:r>
                  </w:smartTag>
                </w:smartTag>
                <w:r>
                  <w:rPr>
                    <w:sz w:val="20"/>
                  </w:rPr>
                  <w:t xml:space="preserve"> Centre</w:t>
                </w:r>
              </w:p>
              <w:p w:rsidR="00705101" w:rsidRDefault="00705101">
                <w:pPr>
                  <w:pStyle w:val="letterheadaddress"/>
                  <w:rPr>
                    <w:sz w:val="2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 w:val="20"/>
                      </w:rPr>
                      <w:t>1155 21st Street, NW</w:t>
                    </w:r>
                  </w:smartTag>
                  <w:r>
                    <w:rPr>
                      <w:sz w:val="20"/>
                    </w:rPr>
                    <w:t xml:space="preserve">, </w:t>
                  </w:r>
                  <w:smartTag w:uri="urn:schemas-microsoft-com:office:smarttags" w:element="City">
                    <w:r>
                      <w:rPr>
                        <w:sz w:val="20"/>
                      </w:rPr>
                      <w:t>Washington</w:t>
                    </w:r>
                  </w:smartTag>
                  <w:r>
                    <w:rPr>
                      <w:sz w:val="20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sz w:val="20"/>
                      </w:rPr>
                      <w:t>DC</w:t>
                    </w:r>
                  </w:smartTag>
                  <w:r>
                    <w:rPr>
                      <w:sz w:val="20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sz w:val="20"/>
                      </w:rPr>
                      <w:t>20581</w:t>
                    </w:r>
                  </w:smartTag>
                </w:smartTag>
              </w:p>
              <w:p w:rsidR="00705101" w:rsidRDefault="00705101">
                <w:pPr>
                  <w:pStyle w:val="letterheadaddress"/>
                  <w:rPr>
                    <w:sz w:val="20"/>
                  </w:rPr>
                </w:pPr>
                <w:r>
                  <w:rPr>
                    <w:sz w:val="20"/>
                  </w:rPr>
                  <w:t>Telephone: (202) 418-5430</w:t>
                </w:r>
              </w:p>
              <w:p w:rsidR="00705101" w:rsidRDefault="00705101">
                <w:pPr>
                  <w:pStyle w:val="letterheadaddress"/>
                </w:pPr>
                <w:r>
                  <w:rPr>
                    <w:sz w:val="20"/>
                  </w:rPr>
                  <w:t>Facsimile: (202) 418-5536</w:t>
                </w:r>
              </w:p>
            </w:txbxContent>
          </v:textbox>
          <w10:wrap type="tight" anchorx="margin"/>
        </v:shape>
      </w:pict>
    </w:r>
  </w:p>
  <w:p w:rsidR="00705101" w:rsidRDefault="00705101">
    <w:pPr>
      <w:pStyle w:val="Header"/>
    </w:pPr>
  </w:p>
  <w:p w:rsidR="00705101" w:rsidRDefault="00705101">
    <w:pPr>
      <w:pStyle w:val="Header"/>
    </w:pPr>
  </w:p>
  <w:p w:rsidR="00705101" w:rsidRDefault="00705101">
    <w:pPr>
      <w:pStyle w:val="Header"/>
    </w:pPr>
  </w:p>
  <w:p w:rsidR="00705101" w:rsidRDefault="00705101">
    <w:pPr>
      <w:pStyle w:val="Header"/>
    </w:pPr>
  </w:p>
  <w:p w:rsidR="00705101" w:rsidRDefault="00705101">
    <w:pPr>
      <w:pStyle w:val="Header"/>
    </w:pPr>
  </w:p>
  <w:p w:rsidR="00705101" w:rsidRDefault="00705101">
    <w:pPr>
      <w:pStyle w:val="Header"/>
    </w:pPr>
  </w:p>
  <w:p w:rsidR="00705101" w:rsidRDefault="00705101">
    <w:pPr>
      <w:pStyle w:val="Header"/>
    </w:pPr>
  </w:p>
  <w:p w:rsidR="00705101" w:rsidRDefault="00705101">
    <w:pPr>
      <w:pStyle w:val="Header"/>
    </w:pPr>
  </w:p>
  <w:p w:rsidR="00705101" w:rsidRDefault="007051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777"/>
    <w:rsid w:val="000D4106"/>
    <w:rsid w:val="001D7A8D"/>
    <w:rsid w:val="002E2BFE"/>
    <w:rsid w:val="00390BA8"/>
    <w:rsid w:val="003A299A"/>
    <w:rsid w:val="003D3571"/>
    <w:rsid w:val="004346EE"/>
    <w:rsid w:val="005C4AAA"/>
    <w:rsid w:val="00705101"/>
    <w:rsid w:val="00867A23"/>
    <w:rsid w:val="00CE4777"/>
    <w:rsid w:val="00D9526C"/>
    <w:rsid w:val="00EF381F"/>
    <w:rsid w:val="00F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reet"/>
  <w:shapeDefaults>
    <o:shapedefaults v:ext="edit" spidmax="205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5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D3571"/>
    <w:rPr>
      <w:vertAlign w:val="superscript"/>
    </w:rPr>
  </w:style>
  <w:style w:type="paragraph" w:styleId="Footer">
    <w:name w:val="footer"/>
    <w:basedOn w:val="Normal"/>
    <w:rsid w:val="003D3571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3D3571"/>
  </w:style>
  <w:style w:type="paragraph" w:styleId="BodyText">
    <w:name w:val="Body Text"/>
    <w:basedOn w:val="Normal"/>
    <w:rsid w:val="003D3571"/>
    <w:rPr>
      <w:sz w:val="28"/>
    </w:rPr>
  </w:style>
  <w:style w:type="paragraph" w:customStyle="1" w:styleId="letterheadaddress">
    <w:name w:val="letterhead_address"/>
    <w:basedOn w:val="Normal"/>
    <w:rsid w:val="003D3571"/>
    <w:pPr>
      <w:widowControl w:val="0"/>
      <w:tabs>
        <w:tab w:val="center" w:pos="5040"/>
      </w:tabs>
      <w:jc w:val="center"/>
    </w:pPr>
    <w:rPr>
      <w:rFonts w:ascii="Arial" w:hAnsi="Arial"/>
    </w:rPr>
  </w:style>
  <w:style w:type="paragraph" w:customStyle="1" w:styleId="LetterheadDivision">
    <w:name w:val="Letterhead_Division"/>
    <w:basedOn w:val="Normal"/>
    <w:rsid w:val="003D3571"/>
    <w:pPr>
      <w:jc w:val="center"/>
    </w:pPr>
    <w:rPr>
      <w:rFonts w:ascii="Arial" w:hAnsi="Arial" w:cs="Arial"/>
    </w:rPr>
  </w:style>
  <w:style w:type="paragraph" w:styleId="Header">
    <w:name w:val="header"/>
    <w:basedOn w:val="Normal"/>
    <w:rsid w:val="003D3571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2kpfs0\cftcgrpt\Templates\DCIO%20Forms\DCIO%20Memo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50F708-CC38-49F2-B58E-2C60ED5D8533}"/>
</file>

<file path=customXml/itemProps2.xml><?xml version="1.0" encoding="utf-8"?>
<ds:datastoreItem xmlns:ds="http://schemas.openxmlformats.org/officeDocument/2006/customXml" ds:itemID="{34AE5EC1-7D6B-4DE8-9276-F7A3A2B78027}"/>
</file>

<file path=customXml/itemProps3.xml><?xml version="1.0" encoding="utf-8"?>
<ds:datastoreItem xmlns:ds="http://schemas.openxmlformats.org/officeDocument/2006/customXml" ds:itemID="{0F8C6A6D-DB4B-4C07-BC78-555F965CD378}"/>
</file>

<file path=docProps/app.xml><?xml version="1.0" encoding="utf-8"?>
<Properties xmlns="http://schemas.openxmlformats.org/officeDocument/2006/extended-properties" xmlns:vt="http://schemas.openxmlformats.org/officeDocument/2006/docPropsVTypes">
  <Template>DCIO Memo Footer.dot</Template>
  <TotalTime>36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for Memo with Draft Footer</vt:lpstr>
    </vt:vector>
  </TitlesOfParts>
  <Company>CFTC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for Memo with Draft Footer</dc:title>
  <dc:subject>Memo</dc:subject>
  <dc:creator>PDIETZ</dc:creator>
  <cp:lastModifiedBy>PDIETZ</cp:lastModifiedBy>
  <cp:revision>8</cp:revision>
  <cp:lastPrinted>2011-03-15T12:45:00Z</cp:lastPrinted>
  <dcterms:created xsi:type="dcterms:W3CDTF">2011-03-14T22:18:00Z</dcterms:created>
  <dcterms:modified xsi:type="dcterms:W3CDTF">2011-03-15T12:46:00Z</dcterms:modified>
  <cp:category>TEMPLATES</cp:category>
</cp:coreProperties>
</file>