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people.xml" ContentType="application/vnd.openxmlformats-officedocument.wordprocessingml.people+xml"/>
  <Override PartName="/word/styles.xml" ContentType="application/vnd.openxmlformats-officedocument.wordprocessingml.styles+xml"/>
  <Override PartName="/word/theme/theme1.xml" ContentType="application/vnd.openxmlformats-officedocument.theme+xml"/>
  <Override PartName="/word/fontTable1.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A7775" w14:textId="77777777" w:rsidR="00167980" w:rsidRPr="001B3046" w:rsidRDefault="003F6D3E" w:rsidP="001B3046">
      <w:pPr>
        <w:spacing w:before="13"/>
        <w:jc w:val="center"/>
        <w:textAlignment w:val="baseline"/>
        <w:rPr>
          <w:rFonts w:eastAsia="Times New Roman"/>
          <w:b/>
          <w:color w:val="000000"/>
          <w:spacing w:val="-2"/>
          <w:sz w:val="24"/>
          <w:szCs w:val="24"/>
        </w:rPr>
      </w:pPr>
      <w:bookmarkStart w:id="0" w:name="_GoBack"/>
      <w:bookmarkEnd w:id="0"/>
      <w:r w:rsidRPr="001B3046">
        <w:rPr>
          <w:rFonts w:eastAsia="Times New Roman"/>
          <w:b/>
          <w:color w:val="000000"/>
          <w:spacing w:val="-2"/>
          <w:sz w:val="24"/>
          <w:szCs w:val="24"/>
        </w:rPr>
        <w:t>SEF EXHIBIT C</w:t>
      </w:r>
    </w:p>
    <w:p w14:paraId="5E159E8A" w14:textId="77777777" w:rsidR="00167980" w:rsidRPr="001B3046" w:rsidRDefault="003F6D3E" w:rsidP="001B3046">
      <w:pPr>
        <w:spacing w:before="154"/>
        <w:ind w:right="288"/>
        <w:textAlignment w:val="baseline"/>
        <w:rPr>
          <w:rFonts w:eastAsia="Times New Roman"/>
          <w:b/>
          <w:color w:val="000000"/>
          <w:sz w:val="24"/>
          <w:szCs w:val="24"/>
        </w:rPr>
      </w:pPr>
      <w:r w:rsidRPr="001B3046">
        <w:rPr>
          <w:rFonts w:eastAsia="Times New Roman"/>
          <w:b/>
          <w:color w:val="000000"/>
          <w:sz w:val="24"/>
          <w:szCs w:val="24"/>
        </w:rPr>
        <w:t>Attach as Exhibit C, a narrative that sets forth the fitness standards for the Board of Directors and its composition including the number and percentage of public directors.</w:t>
      </w:r>
    </w:p>
    <w:p w14:paraId="7E700891" w14:textId="77777777" w:rsidR="00167980" w:rsidRPr="001B3046" w:rsidRDefault="003F6D3E" w:rsidP="001B3046">
      <w:pPr>
        <w:spacing w:before="560"/>
        <w:textAlignment w:val="baseline"/>
        <w:rPr>
          <w:rFonts w:eastAsia="Times New Roman"/>
          <w:i/>
          <w:color w:val="000000"/>
          <w:spacing w:val="-1"/>
          <w:sz w:val="24"/>
          <w:szCs w:val="24"/>
        </w:rPr>
      </w:pPr>
      <w:r w:rsidRPr="001B3046">
        <w:rPr>
          <w:rFonts w:eastAsia="Times New Roman"/>
          <w:i/>
          <w:color w:val="000000"/>
          <w:spacing w:val="-1"/>
          <w:sz w:val="24"/>
          <w:szCs w:val="24"/>
        </w:rPr>
        <w:t>Eligibility for Membership on the Board</w:t>
      </w:r>
    </w:p>
    <w:p w14:paraId="2B05AD38" w14:textId="77777777" w:rsidR="00167980" w:rsidRPr="001B3046" w:rsidRDefault="003F6D3E" w:rsidP="001B3046">
      <w:pPr>
        <w:spacing w:before="153"/>
        <w:textAlignment w:val="baseline"/>
        <w:rPr>
          <w:rFonts w:eastAsia="Times New Roman"/>
          <w:color w:val="000000"/>
          <w:sz w:val="24"/>
          <w:szCs w:val="24"/>
        </w:rPr>
      </w:pPr>
      <w:r w:rsidRPr="001B3046">
        <w:rPr>
          <w:rFonts w:eastAsia="Times New Roman"/>
          <w:color w:val="000000"/>
          <w:sz w:val="24"/>
          <w:szCs w:val="24"/>
        </w:rPr>
        <w:t>LedgerX requires each director to meet eligibility criteria set forth in Rule 2.4 (see below for text). The Nominating Committee is tasked with recommending individuals who satisfy criteria as provided in the Nominating Committee Charter. For example, the Nominating Committee considers expertise in the finance industry, experience in CFTC-regulated entities, reputation, judgment or decision-making skills, and prior service as a director on another company’s board, among others. Additionally, directors of the Board must be of sufficiently good reputation and possess the ability to contribute to the effective oversight of LedgerX, taking into account the needs LedgerX and factors such as the individual’s experience, perspective, skills and knowledge of the industry in which LedgerX operates.</w:t>
      </w:r>
    </w:p>
    <w:p w14:paraId="13D311A4" w14:textId="77777777" w:rsidR="00167980" w:rsidRPr="001B3046" w:rsidRDefault="003F6D3E" w:rsidP="001B3046">
      <w:pPr>
        <w:spacing w:before="150"/>
        <w:textAlignment w:val="baseline"/>
        <w:rPr>
          <w:rFonts w:eastAsia="Times New Roman"/>
          <w:color w:val="000000"/>
          <w:sz w:val="24"/>
          <w:szCs w:val="24"/>
        </w:rPr>
      </w:pPr>
      <w:r w:rsidRPr="001B3046">
        <w:rPr>
          <w:rFonts w:eastAsia="Times New Roman"/>
          <w:color w:val="000000"/>
          <w:sz w:val="24"/>
          <w:szCs w:val="24"/>
        </w:rPr>
        <w:t>The Nominating Committee will only recommend an individual for candidacy on the Board if such individual satisfies the eligibility criteria. To collect and verify the necessary information to ensure that directors satisfy certain of the criteria, directors must complete a director questionnaire, attached hereto. Candidates for Board membership will be responsible for providing resumes, professional biographies or other materials requested by the Nominating Committee or the Board.</w:t>
      </w:r>
    </w:p>
    <w:p w14:paraId="23588151" w14:textId="7F5F9649" w:rsidR="00167980" w:rsidRDefault="003F6D3E" w:rsidP="001B3046">
      <w:pPr>
        <w:spacing w:before="177"/>
        <w:textAlignment w:val="baseline"/>
        <w:rPr>
          <w:rFonts w:eastAsia="Times New Roman"/>
          <w:color w:val="000000"/>
          <w:spacing w:val="-1"/>
          <w:sz w:val="24"/>
          <w:szCs w:val="24"/>
        </w:rPr>
      </w:pPr>
      <w:r w:rsidRPr="001B3046">
        <w:rPr>
          <w:rFonts w:eastAsia="Times New Roman"/>
          <w:color w:val="000000"/>
          <w:spacing w:val="-1"/>
          <w:sz w:val="24"/>
          <w:szCs w:val="24"/>
        </w:rPr>
        <w:t>Rule 2.4 provides</w:t>
      </w:r>
      <w:r w:rsidR="003B0E79">
        <w:rPr>
          <w:rFonts w:eastAsia="Times New Roman"/>
          <w:color w:val="000000"/>
          <w:spacing w:val="-1"/>
          <w:sz w:val="24"/>
          <w:szCs w:val="24"/>
        </w:rPr>
        <w:t xml:space="preserve"> (in relevant part) as follows:</w:t>
      </w:r>
    </w:p>
    <w:p w14:paraId="11407069" w14:textId="77777777" w:rsidR="003B0E79" w:rsidRPr="003B0E79" w:rsidRDefault="003B0E79" w:rsidP="003B0E79">
      <w:pPr>
        <w:spacing w:before="177"/>
        <w:ind w:left="720" w:hanging="720"/>
        <w:textAlignment w:val="baseline"/>
        <w:rPr>
          <w:rFonts w:eastAsia="Times New Roman"/>
          <w:color w:val="000000"/>
          <w:spacing w:val="-1"/>
          <w:sz w:val="24"/>
          <w:szCs w:val="24"/>
        </w:rPr>
      </w:pPr>
      <w:r w:rsidRPr="003B0E79">
        <w:rPr>
          <w:rFonts w:eastAsia="Times New Roman"/>
          <w:color w:val="000000"/>
          <w:spacing w:val="-1"/>
          <w:sz w:val="24"/>
          <w:szCs w:val="24"/>
        </w:rPr>
        <w:t>A.</w:t>
      </w:r>
      <w:r w:rsidRPr="003B0E79">
        <w:rPr>
          <w:rFonts w:eastAsia="Times New Roman"/>
          <w:color w:val="000000"/>
          <w:spacing w:val="-1"/>
          <w:sz w:val="24"/>
          <w:szCs w:val="24"/>
        </w:rPr>
        <w:tab/>
        <w:t>An individual may not serve as a Director or Officer, or serve on a committee or subcommittee established by the Board or hold a 10 percent or more ownership interest in the Exchange, if the individual:</w:t>
      </w:r>
    </w:p>
    <w:p w14:paraId="70252550" w14:textId="77777777" w:rsidR="003B0E79" w:rsidRPr="003B0E79" w:rsidRDefault="003B0E79" w:rsidP="003B0E79">
      <w:pPr>
        <w:spacing w:before="177"/>
        <w:ind w:left="1440" w:hanging="720"/>
        <w:textAlignment w:val="baseline"/>
        <w:rPr>
          <w:rFonts w:eastAsia="Times New Roman"/>
          <w:color w:val="000000"/>
          <w:spacing w:val="-1"/>
          <w:sz w:val="24"/>
          <w:szCs w:val="24"/>
        </w:rPr>
      </w:pPr>
      <w:r w:rsidRPr="003B0E79">
        <w:rPr>
          <w:rFonts w:eastAsia="Times New Roman"/>
          <w:color w:val="000000"/>
          <w:spacing w:val="-1"/>
          <w:sz w:val="24"/>
          <w:szCs w:val="24"/>
        </w:rPr>
        <w:t>1.</w:t>
      </w:r>
      <w:r w:rsidRPr="003B0E79">
        <w:rPr>
          <w:rFonts w:eastAsia="Times New Roman"/>
          <w:color w:val="000000"/>
          <w:spacing w:val="-1"/>
          <w:sz w:val="24"/>
          <w:szCs w:val="24"/>
        </w:rPr>
        <w:tab/>
        <w:t>within the prior three years has been found, by a final decision of a court of competent jurisdiction, an administrative law judge, the CFTC, or any Self-Regulatory Organization, to have committed a disciplinary offense;</w:t>
      </w:r>
    </w:p>
    <w:p w14:paraId="5C155E9A" w14:textId="77777777" w:rsidR="003B0E79" w:rsidRPr="003B0E79" w:rsidRDefault="003B0E79" w:rsidP="003B0E79">
      <w:pPr>
        <w:spacing w:before="177"/>
        <w:ind w:left="1440" w:hanging="720"/>
        <w:textAlignment w:val="baseline"/>
        <w:rPr>
          <w:rFonts w:eastAsia="Times New Roman"/>
          <w:color w:val="000000"/>
          <w:spacing w:val="-1"/>
          <w:sz w:val="24"/>
          <w:szCs w:val="24"/>
        </w:rPr>
      </w:pPr>
      <w:r w:rsidRPr="003B0E79">
        <w:rPr>
          <w:rFonts w:eastAsia="Times New Roman"/>
          <w:color w:val="000000"/>
          <w:spacing w:val="-1"/>
          <w:sz w:val="24"/>
          <w:szCs w:val="24"/>
        </w:rPr>
        <w:t>2.</w:t>
      </w:r>
      <w:r w:rsidRPr="003B0E79">
        <w:rPr>
          <w:rFonts w:eastAsia="Times New Roman"/>
          <w:color w:val="000000"/>
          <w:spacing w:val="-1"/>
          <w:sz w:val="24"/>
          <w:szCs w:val="24"/>
        </w:rPr>
        <w:tab/>
        <w:t>within the prior three years has entered into a settlement agreement in which any of the findings or, in the absence of such findings, any of the acts charged included a disciplinary offense;</w:t>
      </w:r>
    </w:p>
    <w:p w14:paraId="3ADB3368" w14:textId="77777777" w:rsidR="003B0E79" w:rsidRPr="003B0E79" w:rsidRDefault="003B0E79" w:rsidP="003B0E79">
      <w:pPr>
        <w:spacing w:before="177"/>
        <w:ind w:left="1440" w:hanging="720"/>
        <w:textAlignment w:val="baseline"/>
        <w:rPr>
          <w:rFonts w:eastAsia="Times New Roman"/>
          <w:color w:val="000000"/>
          <w:spacing w:val="-1"/>
          <w:sz w:val="24"/>
          <w:szCs w:val="24"/>
        </w:rPr>
      </w:pPr>
      <w:r w:rsidRPr="003B0E79">
        <w:rPr>
          <w:rFonts w:eastAsia="Times New Roman"/>
          <w:color w:val="000000"/>
          <w:spacing w:val="-1"/>
          <w:sz w:val="24"/>
          <w:szCs w:val="24"/>
        </w:rPr>
        <w:t>3.</w:t>
      </w:r>
      <w:r w:rsidRPr="003B0E79">
        <w:rPr>
          <w:rFonts w:eastAsia="Times New Roman"/>
          <w:color w:val="000000"/>
          <w:spacing w:val="-1"/>
          <w:sz w:val="24"/>
          <w:szCs w:val="24"/>
        </w:rPr>
        <w:tab/>
        <w:t>is currently suspended from trading on a Designated Contract Market or a Swap Execution Facility, is suspended or expelled from membership in a Self-Regulatory Organization, is serving any sentence of probation, or owes any portion of a fine or penalty imposed pursuant to either:</w:t>
      </w:r>
    </w:p>
    <w:p w14:paraId="064FE11F" w14:textId="77777777" w:rsidR="003B0E79" w:rsidRPr="003B0E79" w:rsidRDefault="003B0E79" w:rsidP="003B0E79">
      <w:pPr>
        <w:spacing w:before="177"/>
        <w:ind w:left="2160" w:hanging="720"/>
        <w:textAlignment w:val="baseline"/>
        <w:rPr>
          <w:rFonts w:eastAsia="Times New Roman"/>
          <w:color w:val="000000"/>
          <w:spacing w:val="-1"/>
          <w:sz w:val="24"/>
          <w:szCs w:val="24"/>
        </w:rPr>
      </w:pPr>
      <w:r w:rsidRPr="003B0E79">
        <w:rPr>
          <w:rFonts w:eastAsia="Times New Roman"/>
          <w:color w:val="000000"/>
          <w:spacing w:val="-1"/>
          <w:sz w:val="24"/>
          <w:szCs w:val="24"/>
        </w:rPr>
        <w:t>a</w:t>
      </w:r>
      <w:r w:rsidRPr="003B0E79">
        <w:rPr>
          <w:rFonts w:eastAsia="Times New Roman"/>
          <w:color w:val="000000"/>
          <w:spacing w:val="-1"/>
          <w:sz w:val="24"/>
          <w:szCs w:val="24"/>
        </w:rPr>
        <w:tab/>
        <w:t>a finding by final decision of a court of competent jurisdiction, an administrative law judge, the CFTC or any Self-Regulatory Organization that such person committed a disciplinary offense; or</w:t>
      </w:r>
    </w:p>
    <w:p w14:paraId="417C088D" w14:textId="77777777" w:rsidR="003B0E79" w:rsidRPr="003B0E79" w:rsidRDefault="003B0E79" w:rsidP="003B0E79">
      <w:pPr>
        <w:spacing w:before="177"/>
        <w:ind w:left="2160" w:hanging="720"/>
        <w:textAlignment w:val="baseline"/>
        <w:rPr>
          <w:rFonts w:eastAsia="Times New Roman"/>
          <w:color w:val="000000"/>
          <w:spacing w:val="-1"/>
          <w:sz w:val="24"/>
          <w:szCs w:val="24"/>
        </w:rPr>
      </w:pPr>
      <w:r w:rsidRPr="003B0E79">
        <w:rPr>
          <w:rFonts w:eastAsia="Times New Roman"/>
          <w:color w:val="000000"/>
          <w:spacing w:val="-1"/>
          <w:sz w:val="24"/>
          <w:szCs w:val="24"/>
        </w:rPr>
        <w:t>b</w:t>
      </w:r>
      <w:r w:rsidRPr="003B0E79">
        <w:rPr>
          <w:rFonts w:eastAsia="Times New Roman"/>
          <w:color w:val="000000"/>
          <w:spacing w:val="-1"/>
          <w:sz w:val="24"/>
          <w:szCs w:val="24"/>
        </w:rPr>
        <w:tab/>
        <w:t>a settlement agreement in which any of the findings or, in the absence of such findings, any of the acts charged included a disciplinary offense;</w:t>
      </w:r>
    </w:p>
    <w:p w14:paraId="4E60DC18" w14:textId="77777777" w:rsidR="003B0E79" w:rsidRPr="003B0E79" w:rsidRDefault="003B0E79" w:rsidP="003B0E79">
      <w:pPr>
        <w:spacing w:before="177"/>
        <w:ind w:left="1440" w:hanging="720"/>
        <w:textAlignment w:val="baseline"/>
        <w:rPr>
          <w:rFonts w:eastAsia="Times New Roman"/>
          <w:color w:val="000000"/>
          <w:spacing w:val="-1"/>
          <w:sz w:val="24"/>
          <w:szCs w:val="24"/>
        </w:rPr>
      </w:pPr>
      <w:r w:rsidRPr="003B0E79">
        <w:rPr>
          <w:rFonts w:eastAsia="Times New Roman"/>
          <w:color w:val="000000"/>
          <w:spacing w:val="-1"/>
          <w:sz w:val="24"/>
          <w:szCs w:val="24"/>
        </w:rPr>
        <w:lastRenderedPageBreak/>
        <w:t>4.</w:t>
      </w:r>
      <w:r w:rsidRPr="003B0E79">
        <w:rPr>
          <w:rFonts w:eastAsia="Times New Roman"/>
          <w:color w:val="000000"/>
          <w:spacing w:val="-1"/>
          <w:sz w:val="24"/>
          <w:szCs w:val="24"/>
        </w:rPr>
        <w:tab/>
        <w:t>is currently subject to an agreement with the CFTC or Self-Regulatory Organization not to apply for registration with the CFTC or for membership in the Self-Regulatory Organization;</w:t>
      </w:r>
    </w:p>
    <w:p w14:paraId="74E85A82" w14:textId="77777777" w:rsidR="003B0E79" w:rsidRPr="003B0E79" w:rsidRDefault="003B0E79" w:rsidP="003B0E79">
      <w:pPr>
        <w:spacing w:before="177"/>
        <w:ind w:left="1440" w:hanging="720"/>
        <w:textAlignment w:val="baseline"/>
        <w:rPr>
          <w:rFonts w:eastAsia="Times New Roman"/>
          <w:color w:val="000000"/>
          <w:spacing w:val="-1"/>
          <w:sz w:val="24"/>
          <w:szCs w:val="24"/>
        </w:rPr>
      </w:pPr>
      <w:r w:rsidRPr="003B0E79">
        <w:rPr>
          <w:rFonts w:eastAsia="Times New Roman"/>
          <w:color w:val="000000"/>
          <w:spacing w:val="-1"/>
          <w:sz w:val="24"/>
          <w:szCs w:val="24"/>
        </w:rPr>
        <w:t>5.</w:t>
      </w:r>
      <w:r w:rsidRPr="003B0E79">
        <w:rPr>
          <w:rFonts w:eastAsia="Times New Roman"/>
          <w:color w:val="000000"/>
          <w:spacing w:val="-1"/>
          <w:sz w:val="24"/>
          <w:szCs w:val="24"/>
        </w:rPr>
        <w:tab/>
        <w:t>is currently, or within the past three years has been, subject to a revocation or suspension of registration by the CFTC, or has been convicted within the past three years of any of the felonies listed in Section 8a(2)(D)(ii) through (iv) of the CEA;</w:t>
      </w:r>
    </w:p>
    <w:p w14:paraId="10E52C9C" w14:textId="77777777" w:rsidR="003B0E79" w:rsidRPr="003B0E79" w:rsidRDefault="003B0E79" w:rsidP="003B0E79">
      <w:pPr>
        <w:spacing w:before="177"/>
        <w:ind w:left="1440" w:hanging="720"/>
        <w:textAlignment w:val="baseline"/>
        <w:rPr>
          <w:rFonts w:eastAsia="Times New Roman"/>
          <w:color w:val="000000"/>
          <w:spacing w:val="-1"/>
          <w:sz w:val="24"/>
          <w:szCs w:val="24"/>
        </w:rPr>
      </w:pPr>
      <w:r w:rsidRPr="003B0E79">
        <w:rPr>
          <w:rFonts w:eastAsia="Times New Roman"/>
          <w:color w:val="000000"/>
          <w:spacing w:val="-1"/>
          <w:sz w:val="24"/>
          <w:szCs w:val="24"/>
        </w:rPr>
        <w:t>6.</w:t>
      </w:r>
      <w:r w:rsidRPr="003B0E79">
        <w:rPr>
          <w:rFonts w:eastAsia="Times New Roman"/>
          <w:color w:val="000000"/>
          <w:spacing w:val="-1"/>
          <w:sz w:val="24"/>
          <w:szCs w:val="24"/>
        </w:rPr>
        <w:tab/>
        <w:t>is currently subject to a denial, suspension or disqualification from serving on a disciplinary panel, arbitration panel or governing board of any self-regulatory organization as that term is defined in Section 3(a)(26) of the Securities Exchange Act of 1934; or</w:t>
      </w:r>
    </w:p>
    <w:p w14:paraId="42ED080E" w14:textId="77777777" w:rsidR="003B0E79" w:rsidRPr="003B0E79" w:rsidRDefault="003B0E79" w:rsidP="003B0E79">
      <w:pPr>
        <w:spacing w:before="177"/>
        <w:ind w:left="1440" w:hanging="720"/>
        <w:textAlignment w:val="baseline"/>
        <w:rPr>
          <w:rFonts w:eastAsia="Times New Roman"/>
          <w:color w:val="000000"/>
          <w:spacing w:val="-1"/>
          <w:sz w:val="24"/>
          <w:szCs w:val="24"/>
        </w:rPr>
      </w:pPr>
      <w:r w:rsidRPr="003B0E79">
        <w:rPr>
          <w:rFonts w:eastAsia="Times New Roman"/>
          <w:color w:val="000000"/>
          <w:spacing w:val="-1"/>
          <w:sz w:val="24"/>
          <w:szCs w:val="24"/>
        </w:rPr>
        <w:t>7.</w:t>
      </w:r>
      <w:r w:rsidRPr="003B0E79">
        <w:rPr>
          <w:rFonts w:eastAsia="Times New Roman"/>
          <w:color w:val="000000"/>
          <w:spacing w:val="-1"/>
          <w:sz w:val="24"/>
          <w:szCs w:val="24"/>
        </w:rPr>
        <w:tab/>
        <w:t>is subject to a statutory disqualification pursuant to Section 8a(2) of the CEA.</w:t>
      </w:r>
    </w:p>
    <w:p w14:paraId="1A5AE172" w14:textId="77777777" w:rsidR="003B0E79" w:rsidRPr="003B0E79" w:rsidRDefault="003B0E79" w:rsidP="003B0E79">
      <w:pPr>
        <w:spacing w:before="177"/>
        <w:ind w:left="720"/>
        <w:textAlignment w:val="baseline"/>
        <w:rPr>
          <w:rFonts w:eastAsia="Times New Roman"/>
          <w:color w:val="000000"/>
          <w:spacing w:val="-1"/>
          <w:sz w:val="24"/>
          <w:szCs w:val="24"/>
        </w:rPr>
      </w:pPr>
      <w:r w:rsidRPr="003B0E79">
        <w:rPr>
          <w:rFonts w:eastAsia="Times New Roman"/>
          <w:color w:val="000000"/>
          <w:spacing w:val="-1"/>
          <w:sz w:val="24"/>
          <w:szCs w:val="24"/>
        </w:rPr>
        <w:t>For purposes of this Rule 2.4A, the terms “disciplinary offense,” “final decision” and “settlement agreement” have the meaning given those terms in CFTC Regulation 1.63(a).</w:t>
      </w:r>
    </w:p>
    <w:p w14:paraId="2B879C85" w14:textId="77777777" w:rsidR="003B0E79" w:rsidRPr="003B0E79" w:rsidRDefault="003B0E79" w:rsidP="003B0E79">
      <w:pPr>
        <w:spacing w:before="177"/>
        <w:ind w:left="720" w:hanging="720"/>
        <w:textAlignment w:val="baseline"/>
        <w:rPr>
          <w:rFonts w:eastAsia="Times New Roman"/>
          <w:color w:val="000000"/>
          <w:spacing w:val="-1"/>
          <w:sz w:val="24"/>
          <w:szCs w:val="24"/>
        </w:rPr>
      </w:pPr>
      <w:r w:rsidRPr="003B0E79">
        <w:rPr>
          <w:rFonts w:eastAsia="Times New Roman"/>
          <w:color w:val="000000"/>
          <w:spacing w:val="-1"/>
          <w:sz w:val="24"/>
          <w:szCs w:val="24"/>
        </w:rPr>
        <w:t>B.</w:t>
      </w:r>
      <w:r w:rsidRPr="003B0E79">
        <w:rPr>
          <w:rFonts w:eastAsia="Times New Roman"/>
          <w:color w:val="000000"/>
          <w:spacing w:val="-1"/>
          <w:sz w:val="24"/>
          <w:szCs w:val="24"/>
        </w:rPr>
        <w:tab/>
        <w:t>Any Director, Officer, member of a committee established by the Board and any individual nominated to serve in any such role, shall immediately notify the Chief Executive Officer if such individual is subject to one or more of the criteria in Rule 2.4A. Prior to nomination to the Board, each individual shall certify he or she is not disqualified pursuant to Rule 2.4A. Upon appointment, each Director, Officer, and member of a committee shall provide to the Exchange, where applicable, changes in registration information within 30 days and certification of compliance accordingly. The Exchange shall verify information supporting Board compliance with eligibility criteria.</w:t>
      </w:r>
    </w:p>
    <w:p w14:paraId="0C8C6672" w14:textId="77777777" w:rsidR="003B0E79" w:rsidRPr="003B0E79" w:rsidRDefault="003B0E79" w:rsidP="003B0E79">
      <w:pPr>
        <w:spacing w:before="177"/>
        <w:ind w:left="720" w:hanging="720"/>
        <w:textAlignment w:val="baseline"/>
        <w:rPr>
          <w:rFonts w:eastAsia="Times New Roman"/>
          <w:color w:val="000000"/>
          <w:spacing w:val="-1"/>
          <w:sz w:val="24"/>
          <w:szCs w:val="24"/>
        </w:rPr>
      </w:pPr>
      <w:r w:rsidRPr="003B0E79">
        <w:rPr>
          <w:rFonts w:eastAsia="Times New Roman"/>
          <w:color w:val="000000"/>
          <w:spacing w:val="-1"/>
          <w:sz w:val="24"/>
          <w:szCs w:val="24"/>
        </w:rPr>
        <w:t>C.</w:t>
      </w:r>
      <w:r w:rsidRPr="003B0E79">
        <w:rPr>
          <w:rFonts w:eastAsia="Times New Roman"/>
          <w:color w:val="000000"/>
          <w:spacing w:val="-1"/>
          <w:sz w:val="24"/>
          <w:szCs w:val="24"/>
        </w:rPr>
        <w:tab/>
        <w:t>To serve as a Director, an individual must possess the ability to contribute to the effective oversight and management of the Exchange, taking into account the needs of the Exchange and such factors as the individual’s experience, perspective, skills and knowledge of the industry in which the Exchange operates.</w:t>
      </w:r>
    </w:p>
    <w:p w14:paraId="22F0306B" w14:textId="0142EBE0" w:rsidR="003B0E79" w:rsidRDefault="003B0E79" w:rsidP="003B0E79">
      <w:pPr>
        <w:spacing w:before="177"/>
        <w:ind w:left="720" w:hanging="720"/>
        <w:textAlignment w:val="baseline"/>
        <w:rPr>
          <w:rFonts w:eastAsia="Times New Roman"/>
          <w:color w:val="000000"/>
          <w:spacing w:val="-1"/>
          <w:sz w:val="24"/>
          <w:szCs w:val="24"/>
        </w:rPr>
      </w:pPr>
      <w:r w:rsidRPr="003B0E79">
        <w:rPr>
          <w:rFonts w:eastAsia="Times New Roman"/>
          <w:color w:val="000000"/>
          <w:spacing w:val="-1"/>
          <w:sz w:val="24"/>
          <w:szCs w:val="24"/>
        </w:rPr>
        <w:t>D.</w:t>
      </w:r>
      <w:r w:rsidRPr="003B0E79">
        <w:rPr>
          <w:rFonts w:eastAsia="Times New Roman"/>
          <w:color w:val="000000"/>
          <w:spacing w:val="-1"/>
          <w:sz w:val="24"/>
          <w:szCs w:val="24"/>
        </w:rPr>
        <w:tab/>
        <w:t>A Director or Officer must meet any qualifications set forth from time to time in the Operating Agreement.</w:t>
      </w:r>
    </w:p>
    <w:p w14:paraId="7C5E4E68" w14:textId="77777777" w:rsidR="00167980" w:rsidRPr="001B3046" w:rsidRDefault="003F6D3E" w:rsidP="001B3046">
      <w:pPr>
        <w:spacing w:before="503"/>
        <w:textAlignment w:val="baseline"/>
        <w:rPr>
          <w:rFonts w:eastAsia="Times New Roman"/>
          <w:i/>
          <w:color w:val="000000"/>
          <w:spacing w:val="-1"/>
          <w:sz w:val="24"/>
          <w:szCs w:val="24"/>
        </w:rPr>
      </w:pPr>
      <w:r w:rsidRPr="001B3046">
        <w:rPr>
          <w:rFonts w:eastAsia="Times New Roman"/>
          <w:i/>
          <w:color w:val="000000"/>
          <w:spacing w:val="-1"/>
          <w:sz w:val="24"/>
          <w:szCs w:val="24"/>
        </w:rPr>
        <w:t>Public Director Qualifications</w:t>
      </w:r>
    </w:p>
    <w:p w14:paraId="48F2E04B" w14:textId="67F00F29" w:rsidR="00167980" w:rsidRDefault="003F6D3E" w:rsidP="001B3046">
      <w:pPr>
        <w:spacing w:before="154"/>
        <w:ind w:right="360"/>
        <w:textAlignment w:val="baseline"/>
        <w:rPr>
          <w:rFonts w:eastAsia="Times New Roman"/>
          <w:color w:val="000000"/>
          <w:sz w:val="24"/>
          <w:szCs w:val="24"/>
        </w:rPr>
      </w:pPr>
      <w:r w:rsidRPr="001B3046">
        <w:rPr>
          <w:rFonts w:eastAsia="Times New Roman"/>
          <w:color w:val="000000"/>
          <w:sz w:val="24"/>
          <w:szCs w:val="24"/>
        </w:rPr>
        <w:t xml:space="preserve">The Board is </w:t>
      </w:r>
      <w:r w:rsidR="007A0BFC" w:rsidRPr="001B3046">
        <w:rPr>
          <w:rFonts w:eastAsia="Times New Roman"/>
          <w:color w:val="000000"/>
          <w:sz w:val="24"/>
          <w:szCs w:val="24"/>
        </w:rPr>
        <w:t xml:space="preserve">composed of </w:t>
      </w:r>
      <w:r w:rsidR="00294EAA">
        <w:rPr>
          <w:rFonts w:eastAsia="Times New Roman"/>
          <w:color w:val="000000"/>
          <w:sz w:val="24"/>
          <w:szCs w:val="24"/>
        </w:rPr>
        <w:t>seven</w:t>
      </w:r>
      <w:r w:rsidRPr="001B3046">
        <w:rPr>
          <w:rFonts w:eastAsia="Times New Roman"/>
          <w:color w:val="000000"/>
          <w:sz w:val="24"/>
          <w:szCs w:val="24"/>
        </w:rPr>
        <w:t xml:space="preserve"> members, two of </w:t>
      </w:r>
      <w:r w:rsidR="003B0E79">
        <w:rPr>
          <w:rFonts w:eastAsia="Times New Roman"/>
          <w:color w:val="000000"/>
          <w:sz w:val="24"/>
          <w:szCs w:val="24"/>
        </w:rPr>
        <w:t>whom</w:t>
      </w:r>
      <w:r w:rsidRPr="001B3046">
        <w:rPr>
          <w:rFonts w:eastAsia="Times New Roman"/>
          <w:color w:val="000000"/>
          <w:sz w:val="24"/>
          <w:szCs w:val="24"/>
        </w:rPr>
        <w:t xml:space="preserve"> are Public Directors</w:t>
      </w:r>
      <w:r w:rsidR="007A0BFC" w:rsidRPr="001B3046">
        <w:rPr>
          <w:rFonts w:eastAsia="Times New Roman"/>
          <w:color w:val="000000"/>
          <w:sz w:val="24"/>
          <w:szCs w:val="24"/>
        </w:rPr>
        <w:t xml:space="preserve"> and two of </w:t>
      </w:r>
      <w:r w:rsidR="003B0E79">
        <w:rPr>
          <w:rFonts w:eastAsia="Times New Roman"/>
          <w:color w:val="000000"/>
          <w:sz w:val="24"/>
          <w:szCs w:val="24"/>
        </w:rPr>
        <w:t>whom</w:t>
      </w:r>
      <w:r w:rsidR="007A0BFC" w:rsidRPr="001B3046">
        <w:rPr>
          <w:rFonts w:eastAsia="Times New Roman"/>
          <w:color w:val="000000"/>
          <w:sz w:val="24"/>
          <w:szCs w:val="24"/>
        </w:rPr>
        <w:t xml:space="preserve"> are Market Participant Directors, in accordance with Rule 2.2(D)</w:t>
      </w:r>
      <w:r w:rsidRPr="001B3046">
        <w:rPr>
          <w:rFonts w:eastAsia="Times New Roman"/>
          <w:color w:val="000000"/>
          <w:sz w:val="24"/>
          <w:szCs w:val="24"/>
        </w:rPr>
        <w:t>. Rule</w:t>
      </w:r>
      <w:r w:rsidR="007A0BFC" w:rsidRPr="001B3046">
        <w:rPr>
          <w:rFonts w:eastAsia="Times New Roman"/>
          <w:color w:val="000000"/>
          <w:sz w:val="24"/>
          <w:szCs w:val="24"/>
        </w:rPr>
        <w:t>s</w:t>
      </w:r>
      <w:r w:rsidRPr="001B3046">
        <w:rPr>
          <w:rFonts w:eastAsia="Times New Roman"/>
          <w:color w:val="000000"/>
          <w:sz w:val="24"/>
          <w:szCs w:val="24"/>
        </w:rPr>
        <w:t xml:space="preserve"> 2.2(F) </w:t>
      </w:r>
      <w:r w:rsidR="007A0BFC" w:rsidRPr="001B3046">
        <w:rPr>
          <w:rFonts w:eastAsia="Times New Roman"/>
          <w:color w:val="000000"/>
          <w:sz w:val="24"/>
          <w:szCs w:val="24"/>
        </w:rPr>
        <w:t xml:space="preserve">and (G) </w:t>
      </w:r>
      <w:r w:rsidRPr="001B3046">
        <w:rPr>
          <w:rFonts w:eastAsia="Times New Roman"/>
          <w:color w:val="000000"/>
          <w:sz w:val="24"/>
          <w:szCs w:val="24"/>
        </w:rPr>
        <w:t>sets forth the standards a director must satisfy to be considered to be a Public Director. Rule</w:t>
      </w:r>
      <w:r w:rsidR="007A0BFC" w:rsidRPr="001B3046">
        <w:rPr>
          <w:rFonts w:eastAsia="Times New Roman"/>
          <w:color w:val="000000"/>
          <w:sz w:val="24"/>
          <w:szCs w:val="24"/>
        </w:rPr>
        <w:t>s</w:t>
      </w:r>
      <w:r w:rsidRPr="001B3046">
        <w:rPr>
          <w:rFonts w:eastAsia="Times New Roman"/>
          <w:color w:val="000000"/>
          <w:sz w:val="24"/>
          <w:szCs w:val="24"/>
        </w:rPr>
        <w:t xml:space="preserve"> 2.2(F)</w:t>
      </w:r>
      <w:r w:rsidR="007A0BFC" w:rsidRPr="001B3046">
        <w:rPr>
          <w:rFonts w:eastAsia="Times New Roman"/>
          <w:color w:val="000000"/>
          <w:sz w:val="24"/>
          <w:szCs w:val="24"/>
        </w:rPr>
        <w:t xml:space="preserve"> and (G)</w:t>
      </w:r>
      <w:r w:rsidRPr="001B3046">
        <w:rPr>
          <w:rFonts w:eastAsia="Times New Roman"/>
          <w:color w:val="000000"/>
          <w:sz w:val="24"/>
          <w:szCs w:val="24"/>
        </w:rPr>
        <w:t xml:space="preserve"> provide:</w:t>
      </w:r>
    </w:p>
    <w:p w14:paraId="15B32796" w14:textId="77777777" w:rsidR="003B0E79" w:rsidRPr="003B0E79" w:rsidRDefault="003B0E79" w:rsidP="003B0E79">
      <w:pPr>
        <w:spacing w:before="154"/>
        <w:ind w:left="720" w:right="360" w:hanging="720"/>
        <w:textAlignment w:val="baseline"/>
        <w:rPr>
          <w:rFonts w:eastAsia="Times New Roman"/>
          <w:color w:val="000000"/>
          <w:sz w:val="24"/>
          <w:szCs w:val="24"/>
        </w:rPr>
      </w:pPr>
      <w:r w:rsidRPr="003B0E79">
        <w:rPr>
          <w:rFonts w:eastAsia="Times New Roman"/>
          <w:color w:val="000000"/>
          <w:sz w:val="24"/>
          <w:szCs w:val="24"/>
        </w:rPr>
        <w:t>F.</w:t>
      </w:r>
      <w:r w:rsidRPr="003B0E79">
        <w:rPr>
          <w:rFonts w:eastAsia="Times New Roman"/>
          <w:color w:val="000000"/>
          <w:sz w:val="24"/>
          <w:szCs w:val="24"/>
        </w:rPr>
        <w:tab/>
        <w:t xml:space="preserve">To qualify as a Public Director, an individual must be found, by the Board and on the record, to have no Material Relationship, as defined below, with the Exchange. The Board must make such finding at the time the Public Director is elected and as often as necessary in light of all circumstances relevant to such Public Director, but in no case less than annually. A Material Relationship is one that reasonably could affect the independent judgment or decision-making of the Director. The Board need not consider previous service as a Director of the Exchange to constitute a Material </w:t>
      </w:r>
      <w:r w:rsidRPr="003B0E79">
        <w:rPr>
          <w:rFonts w:eastAsia="Times New Roman"/>
          <w:color w:val="000000"/>
          <w:sz w:val="24"/>
          <w:szCs w:val="24"/>
        </w:rPr>
        <w:lastRenderedPageBreak/>
        <w:t>Relationship. A Director shall be considered to have a Material Relationship with the Exchange if any of the following circumstances exist or have existed within the past year:</w:t>
      </w:r>
    </w:p>
    <w:p w14:paraId="15027033" w14:textId="77777777" w:rsidR="003B0E79" w:rsidRPr="003B0E79" w:rsidRDefault="003B0E79" w:rsidP="003B0E79">
      <w:pPr>
        <w:spacing w:before="154"/>
        <w:ind w:left="1440" w:right="360" w:hanging="720"/>
        <w:textAlignment w:val="baseline"/>
        <w:rPr>
          <w:rFonts w:eastAsia="Times New Roman"/>
          <w:color w:val="000000"/>
          <w:sz w:val="24"/>
          <w:szCs w:val="24"/>
        </w:rPr>
      </w:pPr>
      <w:r w:rsidRPr="003B0E79">
        <w:rPr>
          <w:rFonts w:eastAsia="Times New Roman"/>
          <w:color w:val="000000"/>
          <w:sz w:val="24"/>
          <w:szCs w:val="24"/>
        </w:rPr>
        <w:t>1.</w:t>
      </w:r>
      <w:r w:rsidRPr="003B0E79">
        <w:rPr>
          <w:rFonts w:eastAsia="Times New Roman"/>
          <w:color w:val="000000"/>
          <w:sz w:val="24"/>
          <w:szCs w:val="24"/>
        </w:rPr>
        <w:tab/>
        <w:t>such Director is or was an Officer or an employee of the Exchange, or an officer or an employee of an Affiliate of the Exchange; such Director is or was a Participant; or</w:t>
      </w:r>
    </w:p>
    <w:p w14:paraId="19970BAD" w14:textId="77777777" w:rsidR="003B0E79" w:rsidRPr="003B0E79" w:rsidRDefault="003B0E79" w:rsidP="003B0E79">
      <w:pPr>
        <w:spacing w:before="154"/>
        <w:ind w:left="1440" w:right="360" w:hanging="720"/>
        <w:textAlignment w:val="baseline"/>
        <w:rPr>
          <w:rFonts w:eastAsia="Times New Roman"/>
          <w:color w:val="000000"/>
          <w:sz w:val="24"/>
          <w:szCs w:val="24"/>
        </w:rPr>
      </w:pPr>
      <w:r w:rsidRPr="003B0E79">
        <w:rPr>
          <w:rFonts w:eastAsia="Times New Roman"/>
          <w:color w:val="000000"/>
          <w:sz w:val="24"/>
          <w:szCs w:val="24"/>
        </w:rPr>
        <w:t>2.</w:t>
      </w:r>
      <w:r w:rsidRPr="003B0E79">
        <w:rPr>
          <w:rFonts w:eastAsia="Times New Roman"/>
          <w:color w:val="000000"/>
          <w:sz w:val="24"/>
          <w:szCs w:val="24"/>
        </w:rPr>
        <w:tab/>
        <w:t>such Director is or was a director, an officer, or an employee of a Participant.</w:t>
      </w:r>
    </w:p>
    <w:p w14:paraId="713F6EF3" w14:textId="52A7B9B3" w:rsidR="003B0E79" w:rsidRDefault="003B0E79" w:rsidP="003B0E79">
      <w:pPr>
        <w:spacing w:before="154"/>
        <w:ind w:left="720" w:right="360" w:hanging="720"/>
        <w:textAlignment w:val="baseline"/>
        <w:rPr>
          <w:rFonts w:eastAsia="Times New Roman"/>
          <w:color w:val="000000"/>
          <w:sz w:val="24"/>
          <w:szCs w:val="24"/>
        </w:rPr>
      </w:pPr>
      <w:r w:rsidRPr="003B0E79">
        <w:rPr>
          <w:rFonts w:eastAsia="Times New Roman"/>
          <w:color w:val="000000"/>
          <w:sz w:val="24"/>
          <w:szCs w:val="24"/>
        </w:rPr>
        <w:t>G.</w:t>
      </w:r>
      <w:r w:rsidRPr="003B0E79">
        <w:rPr>
          <w:rFonts w:eastAsia="Times New Roman"/>
          <w:color w:val="000000"/>
          <w:sz w:val="24"/>
          <w:szCs w:val="24"/>
        </w:rPr>
        <w:tab/>
        <w:t>If any of the immediate family of a Director, i.e., spouse, parents, children, and siblings, in each case, whether by blood, marriage, or adoption, or any person residing in the home of the Director or that of his or her immediate family have a Material Relationship as defined above, then that Material Relationship is deemed to apply to such Director.</w:t>
      </w:r>
    </w:p>
    <w:p w14:paraId="5CF5FEAB" w14:textId="078BD74E" w:rsidR="00167980" w:rsidRDefault="00167980" w:rsidP="001B3046">
      <w:pPr>
        <w:ind w:left="540"/>
        <w:textAlignment w:val="baseline"/>
        <w:rPr>
          <w:rFonts w:eastAsia="Times New Roman"/>
          <w:color w:val="000000"/>
          <w:sz w:val="18"/>
        </w:rPr>
      </w:pPr>
    </w:p>
    <w:p w14:paraId="6437C43B" w14:textId="77777777" w:rsidR="00167980" w:rsidRDefault="00167980">
      <w:pPr>
        <w:sectPr w:rsidR="001679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4A6FEAAB" w14:textId="77777777" w:rsidR="00167980" w:rsidRDefault="003F6D3E">
      <w:pPr>
        <w:spacing w:after="772" w:line="329" w:lineRule="exact"/>
        <w:jc w:val="center"/>
        <w:textAlignment w:val="baseline"/>
        <w:rPr>
          <w:rFonts w:ascii="Tahoma" w:eastAsia="Tahoma" w:hAnsi="Tahoma"/>
          <w:b/>
          <w:color w:val="000000"/>
          <w:spacing w:val="2"/>
          <w:sz w:val="26"/>
        </w:rPr>
      </w:pPr>
      <w:r>
        <w:rPr>
          <w:rFonts w:ascii="Tahoma" w:eastAsia="Tahoma" w:hAnsi="Tahoma"/>
          <w:b/>
          <w:color w:val="000000"/>
          <w:spacing w:val="2"/>
          <w:sz w:val="26"/>
        </w:rPr>
        <w:lastRenderedPageBreak/>
        <w:t>LedgerX Board of Directors, Board Advisors and Committee Composition</w:t>
      </w:r>
    </w:p>
    <w:tbl>
      <w:tblPr>
        <w:tblStyle w:val="TableGrid1"/>
        <w:tblW w:w="13567" w:type="dxa"/>
        <w:jc w:val="center"/>
        <w:tblLayout w:type="fixed"/>
        <w:tblLook w:val="04A0" w:firstRow="1" w:lastRow="0" w:firstColumn="1" w:lastColumn="0" w:noHBand="0" w:noVBand="1"/>
      </w:tblPr>
      <w:tblGrid>
        <w:gridCol w:w="1890"/>
        <w:gridCol w:w="2160"/>
        <w:gridCol w:w="1121"/>
        <w:gridCol w:w="1196"/>
        <w:gridCol w:w="1710"/>
        <w:gridCol w:w="1620"/>
        <w:gridCol w:w="1980"/>
        <w:gridCol w:w="1890"/>
      </w:tblGrid>
      <w:tr w:rsidR="00C54B24" w14:paraId="22A9965B" w14:textId="77777777" w:rsidTr="00FC1BFC">
        <w:trPr>
          <w:trHeight w:val="1099"/>
          <w:tblHeader/>
          <w:jc w:val="center"/>
        </w:trPr>
        <w:tc>
          <w:tcPr>
            <w:tcW w:w="1890" w:type="dxa"/>
            <w:shd w:val="clear" w:color="auto" w:fill="DBE5F1" w:themeFill="accent1" w:themeFillTint="33"/>
            <w:vAlign w:val="center"/>
          </w:tcPr>
          <w:p w14:paraId="7486788C"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Name</w:t>
            </w:r>
          </w:p>
        </w:tc>
        <w:tc>
          <w:tcPr>
            <w:tcW w:w="2160" w:type="dxa"/>
            <w:shd w:val="clear" w:color="auto" w:fill="DBE5F1" w:themeFill="accent1" w:themeFillTint="33"/>
            <w:vAlign w:val="center"/>
          </w:tcPr>
          <w:p w14:paraId="65CB88B8"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Company</w:t>
            </w:r>
          </w:p>
        </w:tc>
        <w:tc>
          <w:tcPr>
            <w:tcW w:w="1121" w:type="dxa"/>
            <w:shd w:val="clear" w:color="auto" w:fill="DBE5F1" w:themeFill="accent1" w:themeFillTint="33"/>
            <w:vAlign w:val="center"/>
          </w:tcPr>
          <w:p w14:paraId="4C48F068"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Ledger Holdings Inc. BOD</w:t>
            </w:r>
          </w:p>
        </w:tc>
        <w:tc>
          <w:tcPr>
            <w:tcW w:w="1196" w:type="dxa"/>
            <w:shd w:val="clear" w:color="auto" w:fill="DBE5F1" w:themeFill="accent1" w:themeFillTint="33"/>
            <w:vAlign w:val="center"/>
          </w:tcPr>
          <w:p w14:paraId="253B9F66"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LedgerX LLC BOD</w:t>
            </w:r>
          </w:p>
        </w:tc>
        <w:tc>
          <w:tcPr>
            <w:tcW w:w="1710" w:type="dxa"/>
            <w:shd w:val="clear" w:color="auto" w:fill="DBE5F1" w:themeFill="accent1" w:themeFillTint="33"/>
            <w:vAlign w:val="center"/>
          </w:tcPr>
          <w:p w14:paraId="7B5EC8D1"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Risk Management Committee</w:t>
            </w:r>
          </w:p>
        </w:tc>
        <w:tc>
          <w:tcPr>
            <w:tcW w:w="1620" w:type="dxa"/>
            <w:shd w:val="clear" w:color="auto" w:fill="DBE5F1" w:themeFill="accent1" w:themeFillTint="33"/>
            <w:vAlign w:val="center"/>
          </w:tcPr>
          <w:p w14:paraId="7E4B060A"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Regulatory Oversight Committee</w:t>
            </w:r>
          </w:p>
        </w:tc>
        <w:tc>
          <w:tcPr>
            <w:tcW w:w="1980" w:type="dxa"/>
            <w:shd w:val="clear" w:color="auto" w:fill="DBE5F1" w:themeFill="accent1" w:themeFillTint="33"/>
            <w:vAlign w:val="center"/>
          </w:tcPr>
          <w:p w14:paraId="1F33A11A"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Participant Committee</w:t>
            </w:r>
          </w:p>
        </w:tc>
        <w:tc>
          <w:tcPr>
            <w:tcW w:w="1890" w:type="dxa"/>
            <w:shd w:val="clear" w:color="auto" w:fill="DBE5F1" w:themeFill="accent1" w:themeFillTint="33"/>
            <w:vAlign w:val="center"/>
          </w:tcPr>
          <w:p w14:paraId="1AB8127A" w14:textId="77777777" w:rsidR="00C54B24" w:rsidRPr="00B643E7" w:rsidRDefault="00C54B24" w:rsidP="00C54B24">
            <w:pPr>
              <w:spacing w:before="120" w:after="120"/>
              <w:ind w:right="72"/>
              <w:jc w:val="center"/>
              <w:rPr>
                <w:rFonts w:ascii="Times New Roman" w:hAnsi="Times New Roman"/>
                <w:b/>
                <w:sz w:val="16"/>
                <w:szCs w:val="16"/>
              </w:rPr>
            </w:pPr>
            <w:r w:rsidRPr="00B643E7">
              <w:rPr>
                <w:rFonts w:ascii="Times New Roman" w:hAnsi="Times New Roman"/>
                <w:b/>
                <w:sz w:val="16"/>
                <w:szCs w:val="16"/>
              </w:rPr>
              <w:t>Nominating Committee</w:t>
            </w:r>
          </w:p>
        </w:tc>
      </w:tr>
      <w:tr w:rsidR="00C54B24" w14:paraId="1A9FA5DE" w14:textId="77777777" w:rsidTr="00FC1BFC">
        <w:trPr>
          <w:trHeight w:val="737"/>
          <w:jc w:val="center"/>
        </w:trPr>
        <w:tc>
          <w:tcPr>
            <w:tcW w:w="1890" w:type="dxa"/>
          </w:tcPr>
          <w:p w14:paraId="5EF9F833"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Paul Chou</w:t>
            </w:r>
          </w:p>
        </w:tc>
        <w:tc>
          <w:tcPr>
            <w:tcW w:w="2160" w:type="dxa"/>
          </w:tcPr>
          <w:p w14:paraId="36B39FE2"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Ledger Holdings</w:t>
            </w:r>
          </w:p>
        </w:tc>
        <w:tc>
          <w:tcPr>
            <w:tcW w:w="1121" w:type="dxa"/>
            <w:vAlign w:val="center"/>
          </w:tcPr>
          <w:p w14:paraId="24097566"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p w14:paraId="19E98ACC"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(Chair)</w:t>
            </w:r>
          </w:p>
        </w:tc>
        <w:tc>
          <w:tcPr>
            <w:tcW w:w="1196" w:type="dxa"/>
            <w:vAlign w:val="center"/>
          </w:tcPr>
          <w:p w14:paraId="2F7E6530"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tc>
        <w:tc>
          <w:tcPr>
            <w:tcW w:w="1710" w:type="dxa"/>
            <w:vAlign w:val="center"/>
          </w:tcPr>
          <w:p w14:paraId="1EFCBB4E"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tc>
        <w:tc>
          <w:tcPr>
            <w:tcW w:w="1620" w:type="dxa"/>
            <w:vAlign w:val="center"/>
          </w:tcPr>
          <w:p w14:paraId="60AA6325" w14:textId="77777777" w:rsidR="00C54B24" w:rsidRPr="00B643E7" w:rsidRDefault="00C54B24" w:rsidP="00C54B24">
            <w:pPr>
              <w:spacing w:before="120" w:after="120"/>
              <w:jc w:val="center"/>
              <w:rPr>
                <w:rFonts w:ascii="Times New Roman" w:hAnsi="Times New Roman"/>
                <w:b/>
                <w:sz w:val="16"/>
                <w:szCs w:val="16"/>
              </w:rPr>
            </w:pPr>
          </w:p>
        </w:tc>
        <w:tc>
          <w:tcPr>
            <w:tcW w:w="1980" w:type="dxa"/>
            <w:vAlign w:val="center"/>
          </w:tcPr>
          <w:p w14:paraId="03AA6B0C" w14:textId="77777777" w:rsidR="00C54B24" w:rsidRPr="00B643E7" w:rsidRDefault="00C54B24" w:rsidP="00C54B24">
            <w:pPr>
              <w:spacing w:before="120" w:after="120"/>
              <w:jc w:val="center"/>
              <w:rPr>
                <w:rFonts w:ascii="Times New Roman" w:hAnsi="Times New Roman"/>
                <w:b/>
                <w:sz w:val="16"/>
                <w:szCs w:val="16"/>
              </w:rPr>
            </w:pPr>
          </w:p>
        </w:tc>
        <w:tc>
          <w:tcPr>
            <w:tcW w:w="1890" w:type="dxa"/>
            <w:vAlign w:val="center"/>
          </w:tcPr>
          <w:p w14:paraId="3BD94E5A"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r>
      <w:tr w:rsidR="00C54B24" w14:paraId="5A0C2589" w14:textId="77777777" w:rsidTr="00FC1BFC">
        <w:trPr>
          <w:trHeight w:val="719"/>
          <w:jc w:val="center"/>
        </w:trPr>
        <w:tc>
          <w:tcPr>
            <w:tcW w:w="1890" w:type="dxa"/>
          </w:tcPr>
          <w:p w14:paraId="79AB00F3"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Juthica Chou</w:t>
            </w:r>
          </w:p>
        </w:tc>
        <w:tc>
          <w:tcPr>
            <w:tcW w:w="2160" w:type="dxa"/>
          </w:tcPr>
          <w:p w14:paraId="3050592C"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Ledger Holdings</w:t>
            </w:r>
          </w:p>
        </w:tc>
        <w:tc>
          <w:tcPr>
            <w:tcW w:w="1121" w:type="dxa"/>
            <w:vAlign w:val="center"/>
          </w:tcPr>
          <w:p w14:paraId="1579C03C"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c>
          <w:tcPr>
            <w:tcW w:w="1196" w:type="dxa"/>
            <w:vAlign w:val="center"/>
          </w:tcPr>
          <w:p w14:paraId="7AD069B4"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c>
          <w:tcPr>
            <w:tcW w:w="1710" w:type="dxa"/>
            <w:vAlign w:val="center"/>
          </w:tcPr>
          <w:p w14:paraId="2874092A" w14:textId="77777777" w:rsidR="00C54B24" w:rsidRPr="00B643E7" w:rsidRDefault="00C54B24" w:rsidP="00C54B24">
            <w:pPr>
              <w:spacing w:before="120" w:after="120"/>
              <w:jc w:val="center"/>
              <w:rPr>
                <w:rFonts w:ascii="Times New Roman" w:hAnsi="Times New Roman"/>
                <w:sz w:val="16"/>
                <w:szCs w:val="16"/>
              </w:rPr>
            </w:pPr>
          </w:p>
        </w:tc>
        <w:tc>
          <w:tcPr>
            <w:tcW w:w="1620" w:type="dxa"/>
            <w:vAlign w:val="center"/>
          </w:tcPr>
          <w:p w14:paraId="069063F5" w14:textId="77777777" w:rsidR="00C54B24" w:rsidRPr="00B643E7" w:rsidRDefault="00C54B24" w:rsidP="00C54B24">
            <w:pPr>
              <w:spacing w:before="120" w:after="120"/>
              <w:jc w:val="center"/>
              <w:rPr>
                <w:rFonts w:ascii="Times New Roman" w:hAnsi="Times New Roman"/>
                <w:sz w:val="16"/>
                <w:szCs w:val="16"/>
              </w:rPr>
            </w:pPr>
          </w:p>
        </w:tc>
        <w:tc>
          <w:tcPr>
            <w:tcW w:w="1980" w:type="dxa"/>
            <w:vAlign w:val="center"/>
          </w:tcPr>
          <w:p w14:paraId="6C575D5B"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c>
          <w:tcPr>
            <w:tcW w:w="1890" w:type="dxa"/>
            <w:vAlign w:val="center"/>
          </w:tcPr>
          <w:p w14:paraId="6EA56477" w14:textId="77777777" w:rsidR="00C54B24" w:rsidRPr="00B643E7" w:rsidRDefault="00C54B24" w:rsidP="00C54B24">
            <w:pPr>
              <w:spacing w:before="120" w:after="120"/>
              <w:jc w:val="center"/>
              <w:rPr>
                <w:rFonts w:ascii="Times New Roman" w:hAnsi="Times New Roman"/>
                <w:sz w:val="16"/>
                <w:szCs w:val="16"/>
              </w:rPr>
            </w:pPr>
          </w:p>
        </w:tc>
      </w:tr>
      <w:tr w:rsidR="00C54B24" w14:paraId="287A1E3A" w14:textId="77777777" w:rsidTr="00FC1BFC">
        <w:trPr>
          <w:trHeight w:val="629"/>
          <w:jc w:val="center"/>
        </w:trPr>
        <w:tc>
          <w:tcPr>
            <w:tcW w:w="1890" w:type="dxa"/>
          </w:tcPr>
          <w:p w14:paraId="1F08DFCC"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Zachary Dexter</w:t>
            </w:r>
          </w:p>
        </w:tc>
        <w:tc>
          <w:tcPr>
            <w:tcW w:w="2160" w:type="dxa"/>
          </w:tcPr>
          <w:p w14:paraId="327E6595"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Ledger Holdings</w:t>
            </w:r>
          </w:p>
        </w:tc>
        <w:tc>
          <w:tcPr>
            <w:tcW w:w="1121" w:type="dxa"/>
            <w:vAlign w:val="center"/>
          </w:tcPr>
          <w:p w14:paraId="360BE21E" w14:textId="22301F9E"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(Observer)</w:t>
            </w:r>
          </w:p>
        </w:tc>
        <w:tc>
          <w:tcPr>
            <w:tcW w:w="1196" w:type="dxa"/>
            <w:vAlign w:val="center"/>
          </w:tcPr>
          <w:p w14:paraId="00EE5C57"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tc>
        <w:tc>
          <w:tcPr>
            <w:tcW w:w="1710" w:type="dxa"/>
            <w:vAlign w:val="center"/>
          </w:tcPr>
          <w:p w14:paraId="53591500"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tc>
        <w:tc>
          <w:tcPr>
            <w:tcW w:w="1620" w:type="dxa"/>
            <w:vAlign w:val="center"/>
          </w:tcPr>
          <w:p w14:paraId="1B877EF7" w14:textId="77777777" w:rsidR="00C54B24" w:rsidRPr="00B643E7" w:rsidRDefault="00C54B24" w:rsidP="00C54B24">
            <w:pPr>
              <w:spacing w:before="120" w:after="120"/>
              <w:jc w:val="center"/>
              <w:rPr>
                <w:rFonts w:ascii="Times New Roman" w:hAnsi="Times New Roman"/>
                <w:b/>
                <w:sz w:val="16"/>
                <w:szCs w:val="16"/>
              </w:rPr>
            </w:pPr>
          </w:p>
        </w:tc>
        <w:tc>
          <w:tcPr>
            <w:tcW w:w="1980" w:type="dxa"/>
            <w:vAlign w:val="center"/>
          </w:tcPr>
          <w:p w14:paraId="381E8021" w14:textId="77777777" w:rsidR="00C54B24" w:rsidRPr="00B643E7" w:rsidRDefault="00C54B24" w:rsidP="00C54B24">
            <w:pPr>
              <w:spacing w:before="120" w:after="120"/>
              <w:jc w:val="center"/>
              <w:rPr>
                <w:rFonts w:ascii="Times New Roman" w:hAnsi="Times New Roman"/>
                <w:b/>
                <w:sz w:val="16"/>
                <w:szCs w:val="16"/>
              </w:rPr>
            </w:pPr>
          </w:p>
        </w:tc>
        <w:tc>
          <w:tcPr>
            <w:tcW w:w="1890" w:type="dxa"/>
            <w:vAlign w:val="center"/>
          </w:tcPr>
          <w:p w14:paraId="052646E3" w14:textId="77777777" w:rsidR="00C54B24" w:rsidRPr="00B643E7" w:rsidRDefault="00C54B24" w:rsidP="00C54B24">
            <w:pPr>
              <w:spacing w:before="120" w:after="120"/>
              <w:jc w:val="center"/>
              <w:rPr>
                <w:rFonts w:ascii="Times New Roman" w:hAnsi="Times New Roman"/>
                <w:b/>
                <w:sz w:val="16"/>
                <w:szCs w:val="16"/>
              </w:rPr>
            </w:pPr>
          </w:p>
        </w:tc>
      </w:tr>
      <w:tr w:rsidR="00C54B24" w14:paraId="30AD76EA" w14:textId="77777777" w:rsidTr="00FC1BFC">
        <w:trPr>
          <w:trHeight w:val="620"/>
          <w:jc w:val="center"/>
        </w:trPr>
        <w:tc>
          <w:tcPr>
            <w:tcW w:w="1890" w:type="dxa"/>
          </w:tcPr>
          <w:p w14:paraId="6FE64D8A"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Dr. James Newsome</w:t>
            </w:r>
          </w:p>
        </w:tc>
        <w:tc>
          <w:tcPr>
            <w:tcW w:w="2160" w:type="dxa"/>
          </w:tcPr>
          <w:p w14:paraId="7139A95B"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Independent</w:t>
            </w:r>
          </w:p>
        </w:tc>
        <w:tc>
          <w:tcPr>
            <w:tcW w:w="1121" w:type="dxa"/>
            <w:vAlign w:val="center"/>
          </w:tcPr>
          <w:p w14:paraId="4C22FC6C" w14:textId="77777777" w:rsidR="00C54B24" w:rsidRPr="00B643E7" w:rsidRDefault="00C54B24" w:rsidP="00C54B24">
            <w:pPr>
              <w:spacing w:before="120" w:after="120"/>
              <w:jc w:val="center"/>
              <w:rPr>
                <w:rFonts w:ascii="Times New Roman" w:hAnsi="Times New Roman"/>
                <w:sz w:val="16"/>
                <w:szCs w:val="16"/>
              </w:rPr>
            </w:pPr>
          </w:p>
        </w:tc>
        <w:tc>
          <w:tcPr>
            <w:tcW w:w="1196" w:type="dxa"/>
            <w:vAlign w:val="center"/>
          </w:tcPr>
          <w:p w14:paraId="753A9884"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p w14:paraId="63FA05A0"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(Chair)</w:t>
            </w:r>
          </w:p>
        </w:tc>
        <w:tc>
          <w:tcPr>
            <w:tcW w:w="1710" w:type="dxa"/>
            <w:vAlign w:val="center"/>
          </w:tcPr>
          <w:p w14:paraId="09B6A6C4"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p w14:paraId="3F28664D"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(Chair)</w:t>
            </w:r>
          </w:p>
        </w:tc>
        <w:tc>
          <w:tcPr>
            <w:tcW w:w="1620" w:type="dxa"/>
            <w:vAlign w:val="center"/>
          </w:tcPr>
          <w:p w14:paraId="0BE95B30"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p w14:paraId="125BF14B"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(Chair)</w:t>
            </w:r>
          </w:p>
        </w:tc>
        <w:tc>
          <w:tcPr>
            <w:tcW w:w="1980" w:type="dxa"/>
            <w:vAlign w:val="center"/>
          </w:tcPr>
          <w:p w14:paraId="6C448E34"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p w14:paraId="1D10576E"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(Chair)</w:t>
            </w:r>
          </w:p>
        </w:tc>
        <w:tc>
          <w:tcPr>
            <w:tcW w:w="1890" w:type="dxa"/>
            <w:vAlign w:val="center"/>
          </w:tcPr>
          <w:p w14:paraId="16F6D814"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p w14:paraId="16CC24D3"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(Chair)</w:t>
            </w:r>
          </w:p>
        </w:tc>
      </w:tr>
      <w:tr w:rsidR="00C54B24" w14:paraId="1CEAB549" w14:textId="77777777" w:rsidTr="00FC1BFC">
        <w:trPr>
          <w:trHeight w:val="728"/>
          <w:jc w:val="center"/>
        </w:trPr>
        <w:tc>
          <w:tcPr>
            <w:tcW w:w="1890" w:type="dxa"/>
          </w:tcPr>
          <w:p w14:paraId="09B7B4B2"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Thomas K. Lewis, Jr.</w:t>
            </w:r>
          </w:p>
        </w:tc>
        <w:tc>
          <w:tcPr>
            <w:tcW w:w="2160" w:type="dxa"/>
          </w:tcPr>
          <w:p w14:paraId="679BC14A"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Independent</w:t>
            </w:r>
          </w:p>
        </w:tc>
        <w:tc>
          <w:tcPr>
            <w:tcW w:w="1121" w:type="dxa"/>
            <w:vAlign w:val="center"/>
          </w:tcPr>
          <w:p w14:paraId="5D532FAA" w14:textId="77777777" w:rsidR="00C54B24" w:rsidRPr="00B643E7" w:rsidRDefault="00C54B24" w:rsidP="00C54B24">
            <w:pPr>
              <w:spacing w:before="120" w:after="120"/>
              <w:jc w:val="center"/>
              <w:rPr>
                <w:rFonts w:ascii="Times New Roman" w:hAnsi="Times New Roman"/>
                <w:sz w:val="16"/>
                <w:szCs w:val="16"/>
              </w:rPr>
            </w:pPr>
          </w:p>
        </w:tc>
        <w:tc>
          <w:tcPr>
            <w:tcW w:w="1196" w:type="dxa"/>
            <w:vAlign w:val="center"/>
          </w:tcPr>
          <w:p w14:paraId="5B58694B"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c>
          <w:tcPr>
            <w:tcW w:w="1710" w:type="dxa"/>
            <w:vAlign w:val="center"/>
          </w:tcPr>
          <w:p w14:paraId="69CC4899"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c>
          <w:tcPr>
            <w:tcW w:w="1620" w:type="dxa"/>
            <w:vAlign w:val="center"/>
          </w:tcPr>
          <w:p w14:paraId="5D09F411"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c>
          <w:tcPr>
            <w:tcW w:w="1980" w:type="dxa"/>
            <w:vAlign w:val="center"/>
          </w:tcPr>
          <w:p w14:paraId="61E50BE3"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c>
          <w:tcPr>
            <w:tcW w:w="1890" w:type="dxa"/>
            <w:vAlign w:val="center"/>
          </w:tcPr>
          <w:p w14:paraId="2B05E9E5"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r>
      <w:tr w:rsidR="00C54B24" w14:paraId="3D84C5C4" w14:textId="77777777" w:rsidTr="00FC1BFC">
        <w:trPr>
          <w:trHeight w:val="710"/>
          <w:jc w:val="center"/>
        </w:trPr>
        <w:tc>
          <w:tcPr>
            <w:tcW w:w="1890" w:type="dxa"/>
          </w:tcPr>
          <w:p w14:paraId="733962BF"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Jeremy Liew (Advisor)</w:t>
            </w:r>
          </w:p>
        </w:tc>
        <w:tc>
          <w:tcPr>
            <w:tcW w:w="2160" w:type="dxa"/>
          </w:tcPr>
          <w:p w14:paraId="7B8E202F"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Lightspeed Venture Partners IX, L.P.</w:t>
            </w:r>
          </w:p>
        </w:tc>
        <w:tc>
          <w:tcPr>
            <w:tcW w:w="1121" w:type="dxa"/>
            <w:vAlign w:val="center"/>
          </w:tcPr>
          <w:p w14:paraId="1675B35F" w14:textId="5D9596F1"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(Observer)</w:t>
            </w:r>
          </w:p>
        </w:tc>
        <w:tc>
          <w:tcPr>
            <w:tcW w:w="1196" w:type="dxa"/>
            <w:vAlign w:val="center"/>
          </w:tcPr>
          <w:p w14:paraId="3C6F0693" w14:textId="77777777" w:rsidR="00C54B24" w:rsidRPr="00B643E7" w:rsidRDefault="00C54B24" w:rsidP="00C54B24">
            <w:pPr>
              <w:spacing w:before="120" w:after="120"/>
              <w:jc w:val="center"/>
              <w:rPr>
                <w:rFonts w:ascii="Times New Roman" w:hAnsi="Times New Roman"/>
                <w:sz w:val="16"/>
                <w:szCs w:val="16"/>
              </w:rPr>
            </w:pPr>
          </w:p>
        </w:tc>
        <w:tc>
          <w:tcPr>
            <w:tcW w:w="1710" w:type="dxa"/>
            <w:vAlign w:val="center"/>
          </w:tcPr>
          <w:p w14:paraId="0A5BFEB0" w14:textId="77777777" w:rsidR="00C54B24" w:rsidRPr="00B643E7" w:rsidRDefault="00C54B24" w:rsidP="00C54B24">
            <w:pPr>
              <w:spacing w:before="120" w:after="120"/>
              <w:jc w:val="center"/>
              <w:rPr>
                <w:rFonts w:ascii="Times New Roman" w:hAnsi="Times New Roman"/>
                <w:sz w:val="16"/>
                <w:szCs w:val="16"/>
              </w:rPr>
            </w:pPr>
          </w:p>
        </w:tc>
        <w:tc>
          <w:tcPr>
            <w:tcW w:w="1620" w:type="dxa"/>
            <w:vAlign w:val="center"/>
          </w:tcPr>
          <w:p w14:paraId="06464BC8" w14:textId="77777777" w:rsidR="00C54B24" w:rsidRPr="00B643E7" w:rsidRDefault="00C54B24" w:rsidP="00C54B24">
            <w:pPr>
              <w:spacing w:before="120" w:after="120"/>
              <w:jc w:val="center"/>
              <w:rPr>
                <w:rFonts w:ascii="Times New Roman" w:hAnsi="Times New Roman"/>
                <w:sz w:val="16"/>
                <w:szCs w:val="16"/>
              </w:rPr>
            </w:pPr>
          </w:p>
        </w:tc>
        <w:tc>
          <w:tcPr>
            <w:tcW w:w="1980" w:type="dxa"/>
            <w:vAlign w:val="center"/>
          </w:tcPr>
          <w:p w14:paraId="51D5E0B7" w14:textId="77777777" w:rsidR="00C54B24" w:rsidRPr="00B643E7" w:rsidRDefault="00C54B24" w:rsidP="00C54B24">
            <w:pPr>
              <w:spacing w:before="120" w:after="120"/>
              <w:jc w:val="center"/>
              <w:rPr>
                <w:rFonts w:ascii="Times New Roman" w:hAnsi="Times New Roman"/>
                <w:sz w:val="16"/>
                <w:szCs w:val="16"/>
              </w:rPr>
            </w:pPr>
          </w:p>
        </w:tc>
        <w:tc>
          <w:tcPr>
            <w:tcW w:w="1890" w:type="dxa"/>
            <w:vAlign w:val="center"/>
          </w:tcPr>
          <w:p w14:paraId="151ABB01" w14:textId="77777777" w:rsidR="00C54B24" w:rsidRPr="00B643E7" w:rsidRDefault="00C54B24" w:rsidP="00C54B24">
            <w:pPr>
              <w:spacing w:before="120" w:after="120"/>
              <w:jc w:val="center"/>
              <w:rPr>
                <w:rFonts w:ascii="Times New Roman" w:hAnsi="Times New Roman"/>
                <w:sz w:val="16"/>
                <w:szCs w:val="16"/>
              </w:rPr>
            </w:pPr>
          </w:p>
        </w:tc>
      </w:tr>
      <w:tr w:rsidR="00C54B24" w14:paraId="727D4E29" w14:textId="77777777" w:rsidTr="00FC1BFC">
        <w:trPr>
          <w:trHeight w:val="701"/>
          <w:jc w:val="center"/>
        </w:trPr>
        <w:tc>
          <w:tcPr>
            <w:tcW w:w="1890" w:type="dxa"/>
          </w:tcPr>
          <w:p w14:paraId="29A3D715"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Mark Wetjen (Ledger Holdings Board Member)</w:t>
            </w:r>
          </w:p>
        </w:tc>
        <w:tc>
          <w:tcPr>
            <w:tcW w:w="2160" w:type="dxa"/>
          </w:tcPr>
          <w:p w14:paraId="0D7F032B"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DTCC</w:t>
            </w:r>
          </w:p>
        </w:tc>
        <w:tc>
          <w:tcPr>
            <w:tcW w:w="1121" w:type="dxa"/>
            <w:vAlign w:val="center"/>
          </w:tcPr>
          <w:p w14:paraId="5CA9477C"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tc>
        <w:tc>
          <w:tcPr>
            <w:tcW w:w="1196" w:type="dxa"/>
            <w:vAlign w:val="center"/>
          </w:tcPr>
          <w:p w14:paraId="65284918" w14:textId="628B371B"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(Observer)</w:t>
            </w:r>
          </w:p>
        </w:tc>
        <w:tc>
          <w:tcPr>
            <w:tcW w:w="1710" w:type="dxa"/>
            <w:vAlign w:val="center"/>
          </w:tcPr>
          <w:p w14:paraId="558910E2" w14:textId="77777777" w:rsidR="00C54B24" w:rsidRPr="00B643E7" w:rsidRDefault="00C54B24" w:rsidP="00C54B24">
            <w:pPr>
              <w:spacing w:before="120" w:after="120"/>
              <w:jc w:val="center"/>
              <w:rPr>
                <w:rFonts w:ascii="Times New Roman" w:hAnsi="Times New Roman"/>
                <w:sz w:val="16"/>
                <w:szCs w:val="16"/>
              </w:rPr>
            </w:pPr>
          </w:p>
        </w:tc>
        <w:tc>
          <w:tcPr>
            <w:tcW w:w="1620" w:type="dxa"/>
          </w:tcPr>
          <w:p w14:paraId="06598EEA" w14:textId="77777777" w:rsidR="00C54B24" w:rsidRPr="00B643E7" w:rsidRDefault="00C54B24" w:rsidP="00C54B24">
            <w:pPr>
              <w:spacing w:before="120" w:after="120"/>
              <w:rPr>
                <w:rFonts w:ascii="Times New Roman" w:hAnsi="Times New Roman"/>
                <w:sz w:val="16"/>
                <w:szCs w:val="16"/>
              </w:rPr>
            </w:pPr>
          </w:p>
        </w:tc>
        <w:tc>
          <w:tcPr>
            <w:tcW w:w="1980" w:type="dxa"/>
          </w:tcPr>
          <w:p w14:paraId="34CC4E32" w14:textId="77777777" w:rsidR="00C54B24" w:rsidRPr="00B643E7" w:rsidRDefault="00C54B24" w:rsidP="00C54B24">
            <w:pPr>
              <w:spacing w:before="120" w:after="120"/>
              <w:rPr>
                <w:rFonts w:ascii="Times New Roman" w:hAnsi="Times New Roman"/>
                <w:sz w:val="16"/>
                <w:szCs w:val="16"/>
              </w:rPr>
            </w:pPr>
          </w:p>
        </w:tc>
        <w:tc>
          <w:tcPr>
            <w:tcW w:w="1890" w:type="dxa"/>
            <w:vAlign w:val="center"/>
          </w:tcPr>
          <w:p w14:paraId="1CE0ADEE" w14:textId="77777777" w:rsidR="00C54B24" w:rsidRPr="00B643E7" w:rsidRDefault="00C54B24" w:rsidP="00C54B24">
            <w:pPr>
              <w:spacing w:before="120" w:after="120"/>
              <w:jc w:val="center"/>
              <w:rPr>
                <w:rFonts w:ascii="Times New Roman" w:hAnsi="Times New Roman"/>
                <w:b/>
                <w:sz w:val="16"/>
                <w:szCs w:val="16"/>
              </w:rPr>
            </w:pPr>
          </w:p>
        </w:tc>
      </w:tr>
      <w:tr w:rsidR="00C54B24" w14:paraId="602651CF" w14:textId="77777777" w:rsidTr="00FC1BFC">
        <w:trPr>
          <w:trHeight w:val="701"/>
          <w:jc w:val="center"/>
        </w:trPr>
        <w:tc>
          <w:tcPr>
            <w:tcW w:w="1890" w:type="dxa"/>
          </w:tcPr>
          <w:p w14:paraId="40DBF972" w14:textId="150DEA08"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Robert P. Castrignano</w:t>
            </w:r>
          </w:p>
        </w:tc>
        <w:tc>
          <w:tcPr>
            <w:tcW w:w="2160" w:type="dxa"/>
          </w:tcPr>
          <w:p w14:paraId="51FD6633" w14:textId="51D7E0E3"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Sandler O’Neill &amp; Partners L.P.</w:t>
            </w:r>
          </w:p>
        </w:tc>
        <w:tc>
          <w:tcPr>
            <w:tcW w:w="1121" w:type="dxa"/>
            <w:vAlign w:val="center"/>
          </w:tcPr>
          <w:p w14:paraId="01469FED" w14:textId="73E8013C"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tc>
        <w:tc>
          <w:tcPr>
            <w:tcW w:w="1196" w:type="dxa"/>
            <w:vAlign w:val="center"/>
          </w:tcPr>
          <w:p w14:paraId="0D720212" w14:textId="77777777" w:rsidR="00C54B24" w:rsidRPr="00B643E7" w:rsidRDefault="00C54B24" w:rsidP="00C54B24">
            <w:pPr>
              <w:spacing w:before="120" w:after="120"/>
              <w:jc w:val="center"/>
              <w:rPr>
                <w:rFonts w:ascii="Times New Roman" w:hAnsi="Times New Roman"/>
                <w:b/>
                <w:sz w:val="16"/>
                <w:szCs w:val="16"/>
              </w:rPr>
            </w:pPr>
          </w:p>
        </w:tc>
        <w:tc>
          <w:tcPr>
            <w:tcW w:w="1710" w:type="dxa"/>
            <w:vAlign w:val="center"/>
          </w:tcPr>
          <w:p w14:paraId="69C61E24" w14:textId="77777777" w:rsidR="00C54B24" w:rsidRPr="00B643E7" w:rsidRDefault="00C54B24" w:rsidP="00C54B24">
            <w:pPr>
              <w:spacing w:before="120" w:after="120"/>
              <w:jc w:val="center"/>
              <w:rPr>
                <w:rFonts w:ascii="Times New Roman" w:hAnsi="Times New Roman"/>
                <w:sz w:val="16"/>
                <w:szCs w:val="16"/>
              </w:rPr>
            </w:pPr>
          </w:p>
        </w:tc>
        <w:tc>
          <w:tcPr>
            <w:tcW w:w="1620" w:type="dxa"/>
          </w:tcPr>
          <w:p w14:paraId="707F39DB" w14:textId="77777777" w:rsidR="00C54B24" w:rsidRPr="00B643E7" w:rsidRDefault="00C54B24" w:rsidP="00C54B24">
            <w:pPr>
              <w:spacing w:before="120" w:after="120"/>
              <w:rPr>
                <w:rFonts w:ascii="Times New Roman" w:hAnsi="Times New Roman"/>
                <w:sz w:val="16"/>
                <w:szCs w:val="16"/>
              </w:rPr>
            </w:pPr>
          </w:p>
        </w:tc>
        <w:tc>
          <w:tcPr>
            <w:tcW w:w="1980" w:type="dxa"/>
          </w:tcPr>
          <w:p w14:paraId="5BDB88EF" w14:textId="77777777" w:rsidR="00C54B24" w:rsidRPr="00B643E7" w:rsidRDefault="00C54B24" w:rsidP="00C54B24">
            <w:pPr>
              <w:spacing w:before="120" w:after="120"/>
              <w:rPr>
                <w:rFonts w:ascii="Times New Roman" w:hAnsi="Times New Roman"/>
                <w:sz w:val="16"/>
                <w:szCs w:val="16"/>
              </w:rPr>
            </w:pPr>
          </w:p>
        </w:tc>
        <w:tc>
          <w:tcPr>
            <w:tcW w:w="1890" w:type="dxa"/>
            <w:vAlign w:val="center"/>
          </w:tcPr>
          <w:p w14:paraId="102114C4" w14:textId="77777777" w:rsidR="00C54B24" w:rsidRPr="00B643E7" w:rsidRDefault="00C54B24" w:rsidP="00C54B24">
            <w:pPr>
              <w:spacing w:before="120" w:after="120"/>
              <w:jc w:val="center"/>
              <w:rPr>
                <w:rFonts w:ascii="Times New Roman" w:hAnsi="Times New Roman"/>
                <w:b/>
                <w:sz w:val="16"/>
                <w:szCs w:val="16"/>
              </w:rPr>
            </w:pPr>
          </w:p>
        </w:tc>
      </w:tr>
      <w:tr w:rsidR="00C54B24" w14:paraId="60FDFA7B" w14:textId="77777777" w:rsidTr="00FC1BFC">
        <w:trPr>
          <w:trHeight w:val="800"/>
          <w:jc w:val="center"/>
        </w:trPr>
        <w:tc>
          <w:tcPr>
            <w:tcW w:w="1890" w:type="dxa"/>
          </w:tcPr>
          <w:p w14:paraId="4C2C7EC5"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 xml:space="preserve">Snehit Shetty </w:t>
            </w:r>
          </w:p>
        </w:tc>
        <w:tc>
          <w:tcPr>
            <w:tcW w:w="2160" w:type="dxa"/>
          </w:tcPr>
          <w:p w14:paraId="6208196A"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Mizuho Bank / Mizuho Securities</w:t>
            </w:r>
          </w:p>
        </w:tc>
        <w:tc>
          <w:tcPr>
            <w:tcW w:w="1121" w:type="dxa"/>
            <w:vAlign w:val="center"/>
          </w:tcPr>
          <w:p w14:paraId="6BC3ED25" w14:textId="77777777" w:rsidR="00C54B24" w:rsidRPr="00B643E7" w:rsidRDefault="00C54B24" w:rsidP="00C54B24">
            <w:pPr>
              <w:spacing w:before="120" w:after="120"/>
              <w:jc w:val="center"/>
              <w:rPr>
                <w:rFonts w:ascii="Times New Roman" w:hAnsi="Times New Roman"/>
                <w:b/>
                <w:sz w:val="16"/>
                <w:szCs w:val="16"/>
              </w:rPr>
            </w:pPr>
          </w:p>
        </w:tc>
        <w:tc>
          <w:tcPr>
            <w:tcW w:w="1196" w:type="dxa"/>
            <w:vAlign w:val="center"/>
          </w:tcPr>
          <w:p w14:paraId="566D8506"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tc>
        <w:tc>
          <w:tcPr>
            <w:tcW w:w="1710" w:type="dxa"/>
            <w:vAlign w:val="center"/>
          </w:tcPr>
          <w:p w14:paraId="42951644" w14:textId="77777777" w:rsidR="00C54B24" w:rsidRPr="00B643E7" w:rsidRDefault="00C54B24" w:rsidP="00C54B24">
            <w:pPr>
              <w:spacing w:before="120" w:after="120"/>
              <w:jc w:val="center"/>
              <w:rPr>
                <w:rFonts w:ascii="Times New Roman" w:hAnsi="Times New Roman"/>
                <w:sz w:val="16"/>
                <w:szCs w:val="16"/>
              </w:rPr>
            </w:pPr>
          </w:p>
        </w:tc>
        <w:tc>
          <w:tcPr>
            <w:tcW w:w="1620" w:type="dxa"/>
          </w:tcPr>
          <w:p w14:paraId="6C83F56F" w14:textId="77777777" w:rsidR="00C54B24" w:rsidRPr="00B643E7" w:rsidRDefault="00C54B24" w:rsidP="00C54B24">
            <w:pPr>
              <w:spacing w:before="120" w:after="120"/>
              <w:rPr>
                <w:rFonts w:ascii="Times New Roman" w:hAnsi="Times New Roman"/>
                <w:sz w:val="16"/>
                <w:szCs w:val="16"/>
              </w:rPr>
            </w:pPr>
          </w:p>
        </w:tc>
        <w:tc>
          <w:tcPr>
            <w:tcW w:w="1980" w:type="dxa"/>
          </w:tcPr>
          <w:p w14:paraId="1D6B8F26" w14:textId="77777777" w:rsidR="00C54B24" w:rsidRPr="00B643E7" w:rsidRDefault="00C54B24" w:rsidP="00C54B24">
            <w:pPr>
              <w:spacing w:before="120" w:after="120"/>
              <w:rPr>
                <w:rFonts w:ascii="Times New Roman" w:hAnsi="Times New Roman"/>
                <w:sz w:val="16"/>
                <w:szCs w:val="16"/>
              </w:rPr>
            </w:pPr>
          </w:p>
        </w:tc>
        <w:tc>
          <w:tcPr>
            <w:tcW w:w="1890" w:type="dxa"/>
            <w:vAlign w:val="center"/>
          </w:tcPr>
          <w:p w14:paraId="425F66F7" w14:textId="77777777" w:rsidR="00C54B24" w:rsidRPr="00B643E7" w:rsidRDefault="00C54B24" w:rsidP="00C54B24">
            <w:pPr>
              <w:spacing w:before="120" w:after="120"/>
              <w:jc w:val="center"/>
              <w:rPr>
                <w:rFonts w:ascii="Times New Roman" w:hAnsi="Times New Roman"/>
                <w:b/>
                <w:sz w:val="16"/>
                <w:szCs w:val="16"/>
              </w:rPr>
            </w:pPr>
          </w:p>
        </w:tc>
      </w:tr>
      <w:tr w:rsidR="00C54B24" w14:paraId="7C9AFD91" w14:textId="77777777" w:rsidTr="00FC1BFC">
        <w:trPr>
          <w:trHeight w:val="809"/>
          <w:jc w:val="center"/>
        </w:trPr>
        <w:tc>
          <w:tcPr>
            <w:tcW w:w="1890" w:type="dxa"/>
          </w:tcPr>
          <w:p w14:paraId="0A7F17FB"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Sarika Singh</w:t>
            </w:r>
          </w:p>
        </w:tc>
        <w:tc>
          <w:tcPr>
            <w:tcW w:w="2160" w:type="dxa"/>
          </w:tcPr>
          <w:p w14:paraId="48C79CC0"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Individual Market Participant</w:t>
            </w:r>
          </w:p>
        </w:tc>
        <w:tc>
          <w:tcPr>
            <w:tcW w:w="1121" w:type="dxa"/>
            <w:vAlign w:val="center"/>
          </w:tcPr>
          <w:p w14:paraId="2CD53DCE" w14:textId="77777777" w:rsidR="00C54B24" w:rsidRPr="00B643E7" w:rsidRDefault="00C54B24" w:rsidP="00C54B24">
            <w:pPr>
              <w:spacing w:before="120" w:after="120"/>
              <w:jc w:val="center"/>
              <w:rPr>
                <w:rFonts w:ascii="Times New Roman" w:hAnsi="Times New Roman"/>
                <w:b/>
                <w:sz w:val="16"/>
                <w:szCs w:val="16"/>
              </w:rPr>
            </w:pPr>
          </w:p>
        </w:tc>
        <w:tc>
          <w:tcPr>
            <w:tcW w:w="1196" w:type="dxa"/>
            <w:vAlign w:val="center"/>
          </w:tcPr>
          <w:p w14:paraId="0BB0C954"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c>
          <w:tcPr>
            <w:tcW w:w="1710" w:type="dxa"/>
            <w:vAlign w:val="center"/>
          </w:tcPr>
          <w:p w14:paraId="1828458E" w14:textId="77777777" w:rsidR="00C54B24" w:rsidRPr="00B643E7" w:rsidRDefault="00C54B24" w:rsidP="00C54B24">
            <w:pPr>
              <w:spacing w:before="120" w:after="120"/>
              <w:jc w:val="center"/>
              <w:rPr>
                <w:rFonts w:ascii="Times New Roman" w:hAnsi="Times New Roman"/>
                <w:sz w:val="16"/>
                <w:szCs w:val="16"/>
              </w:rPr>
            </w:pPr>
            <w:r w:rsidRPr="00B643E7">
              <w:rPr>
                <w:rFonts w:ascii="Times New Roman" w:hAnsi="Times New Roman"/>
                <w:b/>
                <w:sz w:val="16"/>
                <w:szCs w:val="16"/>
              </w:rPr>
              <w:t>X</w:t>
            </w:r>
          </w:p>
        </w:tc>
        <w:tc>
          <w:tcPr>
            <w:tcW w:w="1620" w:type="dxa"/>
            <w:vAlign w:val="center"/>
          </w:tcPr>
          <w:p w14:paraId="5C01083D" w14:textId="77777777" w:rsidR="00C54B24" w:rsidRPr="00B643E7" w:rsidRDefault="00C54B24" w:rsidP="00C54B24">
            <w:pPr>
              <w:spacing w:before="120" w:after="120"/>
              <w:jc w:val="center"/>
              <w:rPr>
                <w:rFonts w:ascii="Times New Roman" w:hAnsi="Times New Roman"/>
                <w:sz w:val="16"/>
                <w:szCs w:val="16"/>
              </w:rPr>
            </w:pPr>
          </w:p>
        </w:tc>
        <w:tc>
          <w:tcPr>
            <w:tcW w:w="1980" w:type="dxa"/>
            <w:vAlign w:val="center"/>
          </w:tcPr>
          <w:p w14:paraId="2EA5FA15" w14:textId="77777777" w:rsidR="00C54B24" w:rsidRPr="00B643E7" w:rsidRDefault="00C54B24" w:rsidP="00C54B24">
            <w:pPr>
              <w:spacing w:before="120" w:after="120"/>
              <w:jc w:val="center"/>
              <w:rPr>
                <w:rFonts w:ascii="Times New Roman" w:hAnsi="Times New Roman"/>
                <w:sz w:val="16"/>
                <w:szCs w:val="16"/>
              </w:rPr>
            </w:pPr>
          </w:p>
        </w:tc>
        <w:tc>
          <w:tcPr>
            <w:tcW w:w="1890" w:type="dxa"/>
            <w:vAlign w:val="center"/>
          </w:tcPr>
          <w:p w14:paraId="3077BD04" w14:textId="77777777" w:rsidR="00C54B24" w:rsidRPr="00B643E7" w:rsidRDefault="00C54B24" w:rsidP="00C54B24">
            <w:pPr>
              <w:spacing w:before="120" w:after="120"/>
              <w:jc w:val="center"/>
              <w:rPr>
                <w:rFonts w:ascii="Times New Roman" w:hAnsi="Times New Roman"/>
                <w:sz w:val="16"/>
                <w:szCs w:val="16"/>
              </w:rPr>
            </w:pPr>
          </w:p>
        </w:tc>
      </w:tr>
      <w:tr w:rsidR="00C54B24" w14:paraId="4BB72167" w14:textId="77777777" w:rsidTr="00FC1BFC">
        <w:trPr>
          <w:trHeight w:val="809"/>
          <w:jc w:val="center"/>
        </w:trPr>
        <w:tc>
          <w:tcPr>
            <w:tcW w:w="1890" w:type="dxa"/>
          </w:tcPr>
          <w:p w14:paraId="60FEAFF1"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Joshua Lim (Participant Representative)</w:t>
            </w:r>
          </w:p>
        </w:tc>
        <w:tc>
          <w:tcPr>
            <w:tcW w:w="2160" w:type="dxa"/>
          </w:tcPr>
          <w:p w14:paraId="25B08B97" w14:textId="77777777" w:rsidR="00C54B24" w:rsidRPr="00B643E7" w:rsidRDefault="00C54B24" w:rsidP="00C54B24">
            <w:pPr>
              <w:spacing w:before="120" w:after="120"/>
              <w:rPr>
                <w:rFonts w:ascii="Times New Roman" w:hAnsi="Times New Roman"/>
                <w:sz w:val="16"/>
                <w:szCs w:val="16"/>
              </w:rPr>
            </w:pPr>
            <w:r w:rsidRPr="00B643E7">
              <w:rPr>
                <w:rFonts w:ascii="Times New Roman" w:hAnsi="Times New Roman"/>
                <w:sz w:val="16"/>
                <w:szCs w:val="16"/>
              </w:rPr>
              <w:t>Circle Internet Financial</w:t>
            </w:r>
          </w:p>
        </w:tc>
        <w:tc>
          <w:tcPr>
            <w:tcW w:w="1121" w:type="dxa"/>
            <w:vAlign w:val="center"/>
          </w:tcPr>
          <w:p w14:paraId="00E7EDEF" w14:textId="77777777" w:rsidR="00C54B24" w:rsidRPr="00B643E7" w:rsidRDefault="00C54B24" w:rsidP="00C54B24">
            <w:pPr>
              <w:spacing w:before="120" w:after="120"/>
              <w:jc w:val="center"/>
              <w:rPr>
                <w:rFonts w:ascii="Times New Roman" w:hAnsi="Times New Roman"/>
                <w:b/>
                <w:sz w:val="16"/>
                <w:szCs w:val="16"/>
              </w:rPr>
            </w:pPr>
          </w:p>
        </w:tc>
        <w:tc>
          <w:tcPr>
            <w:tcW w:w="1196" w:type="dxa"/>
            <w:vAlign w:val="center"/>
          </w:tcPr>
          <w:p w14:paraId="5C9FA7A3" w14:textId="77777777" w:rsidR="00C54B24" w:rsidRPr="00B643E7" w:rsidRDefault="00C54B24" w:rsidP="00C54B24">
            <w:pPr>
              <w:spacing w:before="120" w:after="120"/>
              <w:jc w:val="center"/>
              <w:rPr>
                <w:rFonts w:ascii="Times New Roman" w:hAnsi="Times New Roman"/>
                <w:b/>
                <w:sz w:val="16"/>
                <w:szCs w:val="16"/>
              </w:rPr>
            </w:pPr>
          </w:p>
        </w:tc>
        <w:tc>
          <w:tcPr>
            <w:tcW w:w="1710" w:type="dxa"/>
            <w:vAlign w:val="center"/>
          </w:tcPr>
          <w:p w14:paraId="73EF12CC" w14:textId="77777777" w:rsidR="00C54B24" w:rsidRPr="00B643E7" w:rsidRDefault="00C54B24" w:rsidP="00C54B24">
            <w:pPr>
              <w:spacing w:before="120" w:after="120"/>
              <w:jc w:val="center"/>
              <w:rPr>
                <w:rFonts w:ascii="Times New Roman" w:hAnsi="Times New Roman"/>
                <w:b/>
                <w:sz w:val="16"/>
                <w:szCs w:val="16"/>
              </w:rPr>
            </w:pPr>
            <w:r w:rsidRPr="00B643E7">
              <w:rPr>
                <w:rFonts w:ascii="Times New Roman" w:hAnsi="Times New Roman"/>
                <w:b/>
                <w:sz w:val="16"/>
                <w:szCs w:val="16"/>
              </w:rPr>
              <w:t>X</w:t>
            </w:r>
          </w:p>
        </w:tc>
        <w:tc>
          <w:tcPr>
            <w:tcW w:w="1620" w:type="dxa"/>
            <w:vAlign w:val="center"/>
          </w:tcPr>
          <w:p w14:paraId="35B107B5" w14:textId="77777777" w:rsidR="00C54B24" w:rsidRPr="00B643E7" w:rsidRDefault="00C54B24" w:rsidP="00C54B24">
            <w:pPr>
              <w:spacing w:before="120" w:after="120"/>
              <w:jc w:val="center"/>
              <w:rPr>
                <w:rFonts w:ascii="Times New Roman" w:hAnsi="Times New Roman"/>
                <w:sz w:val="16"/>
                <w:szCs w:val="16"/>
              </w:rPr>
            </w:pPr>
          </w:p>
        </w:tc>
        <w:tc>
          <w:tcPr>
            <w:tcW w:w="1980" w:type="dxa"/>
            <w:vAlign w:val="center"/>
          </w:tcPr>
          <w:p w14:paraId="63817E4C" w14:textId="77777777" w:rsidR="00C54B24" w:rsidRPr="00B643E7" w:rsidRDefault="00C54B24" w:rsidP="00C54B24">
            <w:pPr>
              <w:spacing w:before="120" w:after="120"/>
              <w:jc w:val="center"/>
              <w:rPr>
                <w:rFonts w:ascii="Times New Roman" w:hAnsi="Times New Roman"/>
                <w:sz w:val="16"/>
                <w:szCs w:val="16"/>
              </w:rPr>
            </w:pPr>
          </w:p>
        </w:tc>
        <w:tc>
          <w:tcPr>
            <w:tcW w:w="1890" w:type="dxa"/>
            <w:vAlign w:val="center"/>
          </w:tcPr>
          <w:p w14:paraId="79D717C0" w14:textId="77777777" w:rsidR="00C54B24" w:rsidRPr="00B643E7" w:rsidRDefault="00C54B24" w:rsidP="00C54B24">
            <w:pPr>
              <w:spacing w:before="120" w:after="120"/>
              <w:jc w:val="center"/>
              <w:rPr>
                <w:rFonts w:ascii="Times New Roman" w:hAnsi="Times New Roman"/>
                <w:sz w:val="16"/>
                <w:szCs w:val="16"/>
              </w:rPr>
            </w:pPr>
          </w:p>
        </w:tc>
      </w:tr>
    </w:tbl>
    <w:p w14:paraId="5FD3208F" w14:textId="77777777" w:rsidR="003F6D3E" w:rsidRDefault="003F6D3E"/>
    <w:p w14:paraId="319C7E59" w14:textId="77777777" w:rsidR="001B3046" w:rsidRDefault="001B3046">
      <w:pPr>
        <w:sectPr w:rsidR="001B3046">
          <w:pgSz w:w="15840" w:h="12240" w:orient="landscape"/>
          <w:pgMar w:top="1440" w:right="1440" w:bottom="1440" w:left="1440" w:header="720" w:footer="720" w:gutter="0"/>
          <w:cols w:space="720"/>
        </w:sectPr>
      </w:pPr>
    </w:p>
    <w:p w14:paraId="41401AF5" w14:textId="77777777" w:rsidR="001B3046" w:rsidRPr="001B3046" w:rsidRDefault="001B3046" w:rsidP="001B3046">
      <w:pPr>
        <w:jc w:val="center"/>
        <w:rPr>
          <w:rFonts w:eastAsiaTheme="minorHAnsi"/>
          <w:b/>
          <w:sz w:val="24"/>
        </w:rPr>
      </w:pPr>
      <w:r w:rsidRPr="001B3046">
        <w:rPr>
          <w:rFonts w:eastAsiaTheme="minorHAnsi"/>
          <w:b/>
          <w:sz w:val="24"/>
        </w:rPr>
        <w:t>Attachment</w:t>
      </w:r>
    </w:p>
    <w:p w14:paraId="5357113A" w14:textId="77777777" w:rsidR="001B3046" w:rsidRPr="001B3046" w:rsidRDefault="001B3046" w:rsidP="001B3046">
      <w:pPr>
        <w:jc w:val="center"/>
        <w:rPr>
          <w:rFonts w:eastAsiaTheme="minorHAnsi"/>
          <w:b/>
          <w:sz w:val="24"/>
        </w:rPr>
      </w:pPr>
    </w:p>
    <w:p w14:paraId="4E3CD14F" w14:textId="77777777" w:rsidR="001B3046" w:rsidRPr="001B3046" w:rsidRDefault="001B3046" w:rsidP="001B3046">
      <w:pPr>
        <w:jc w:val="center"/>
        <w:rPr>
          <w:rFonts w:eastAsiaTheme="minorHAnsi"/>
          <w:b/>
          <w:sz w:val="24"/>
        </w:rPr>
      </w:pPr>
    </w:p>
    <w:p w14:paraId="59B5C26F" w14:textId="3C2301CD" w:rsidR="001B3046" w:rsidRPr="001B3046" w:rsidRDefault="001B3046" w:rsidP="001B3046">
      <w:pPr>
        <w:jc w:val="center"/>
        <w:rPr>
          <w:rFonts w:eastAsiaTheme="minorHAnsi"/>
          <w:b/>
          <w:sz w:val="24"/>
        </w:rPr>
      </w:pPr>
      <w:r>
        <w:rPr>
          <w:rFonts w:eastAsiaTheme="minorHAnsi"/>
          <w:b/>
          <w:sz w:val="24"/>
        </w:rPr>
        <w:t>Director Questionnaire</w:t>
      </w:r>
    </w:p>
    <w:p w14:paraId="2CF10766" w14:textId="77777777" w:rsidR="001B3046" w:rsidRPr="001B3046" w:rsidRDefault="001B3046" w:rsidP="001B3046">
      <w:pPr>
        <w:jc w:val="center"/>
        <w:rPr>
          <w:rFonts w:eastAsiaTheme="minorHAnsi"/>
          <w:b/>
          <w:sz w:val="24"/>
        </w:rPr>
      </w:pPr>
    </w:p>
    <w:p w14:paraId="35B59D30" w14:textId="77777777" w:rsidR="001B3046" w:rsidRPr="001B3046" w:rsidRDefault="001B3046" w:rsidP="001B3046">
      <w:pPr>
        <w:jc w:val="center"/>
        <w:rPr>
          <w:rFonts w:eastAsiaTheme="minorHAnsi"/>
          <w:b/>
          <w:sz w:val="24"/>
        </w:rPr>
      </w:pPr>
    </w:p>
    <w:p w14:paraId="135BF8B5" w14:textId="77777777" w:rsidR="001B3046" w:rsidRPr="001B3046" w:rsidRDefault="001B3046" w:rsidP="001B3046">
      <w:pPr>
        <w:jc w:val="center"/>
        <w:rPr>
          <w:rFonts w:eastAsiaTheme="minorHAnsi"/>
          <w:b/>
          <w:sz w:val="24"/>
        </w:rPr>
      </w:pPr>
    </w:p>
    <w:p w14:paraId="4A60E90E" w14:textId="77777777" w:rsidR="001B3046" w:rsidRPr="001B3046" w:rsidRDefault="001B3046" w:rsidP="001B3046">
      <w:pPr>
        <w:jc w:val="center"/>
        <w:rPr>
          <w:rFonts w:eastAsiaTheme="minorHAnsi"/>
          <w:b/>
          <w:sz w:val="24"/>
        </w:rPr>
      </w:pPr>
    </w:p>
    <w:p w14:paraId="02D9ABDC" w14:textId="77777777" w:rsidR="001B3046" w:rsidRPr="001B3046" w:rsidRDefault="001B3046" w:rsidP="001B3046">
      <w:pPr>
        <w:jc w:val="center"/>
        <w:rPr>
          <w:rFonts w:eastAsiaTheme="minorHAnsi"/>
          <w:b/>
          <w:sz w:val="24"/>
        </w:rPr>
      </w:pPr>
    </w:p>
    <w:p w14:paraId="73A2CE5E" w14:textId="77777777" w:rsidR="001B3046" w:rsidRPr="001B3046" w:rsidRDefault="001B3046" w:rsidP="001B3046">
      <w:pPr>
        <w:jc w:val="center"/>
        <w:rPr>
          <w:rFonts w:eastAsiaTheme="minorHAnsi"/>
          <w:b/>
          <w:sz w:val="24"/>
        </w:rPr>
      </w:pPr>
    </w:p>
    <w:p w14:paraId="47D3D5E0" w14:textId="77777777" w:rsidR="001B3046" w:rsidRPr="001B3046" w:rsidRDefault="001B3046" w:rsidP="001B3046">
      <w:pPr>
        <w:jc w:val="center"/>
        <w:rPr>
          <w:rFonts w:eastAsiaTheme="minorHAnsi"/>
          <w:b/>
          <w:sz w:val="24"/>
        </w:rPr>
      </w:pPr>
    </w:p>
    <w:p w14:paraId="24C0C82B" w14:textId="77777777" w:rsidR="001B3046" w:rsidRPr="001B3046" w:rsidRDefault="001B3046" w:rsidP="001B3046">
      <w:pPr>
        <w:jc w:val="center"/>
        <w:rPr>
          <w:rFonts w:eastAsiaTheme="minorHAnsi"/>
          <w:b/>
          <w:sz w:val="24"/>
        </w:rPr>
      </w:pPr>
    </w:p>
    <w:p w14:paraId="12CBF2A4" w14:textId="77777777" w:rsidR="001B3046" w:rsidRPr="001B3046" w:rsidRDefault="001B3046" w:rsidP="001B3046">
      <w:pPr>
        <w:jc w:val="center"/>
        <w:rPr>
          <w:rFonts w:eastAsiaTheme="minorHAnsi"/>
          <w:b/>
          <w:sz w:val="24"/>
        </w:rPr>
      </w:pPr>
      <w:r w:rsidRPr="001B3046">
        <w:rPr>
          <w:rFonts w:eastAsiaTheme="minorHAnsi"/>
          <w:b/>
          <w:sz w:val="24"/>
        </w:rPr>
        <w:t>[REMAINDER OF PAGE INTENTIONALLY LEFT BLANK]</w:t>
      </w:r>
    </w:p>
    <w:p w14:paraId="268453CF" w14:textId="58FE5F57" w:rsidR="00C54B24" w:rsidRDefault="00C54B24"/>
    <w:sectPr w:rsidR="00C54B24">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79B80" w14:textId="77777777" w:rsidR="00CB0C94" w:rsidRDefault="00CB0C94">
      <w:r>
        <w:separator/>
      </w:r>
    </w:p>
  </w:endnote>
  <w:endnote w:type="continuationSeparator" w:id="0">
    <w:p w14:paraId="3C2AB6A6" w14:textId="77777777" w:rsidR="00CB0C94" w:rsidRDefault="00CB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A1E7" w14:textId="77777777" w:rsidR="00294EAA" w:rsidRDefault="00294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29B9" w14:textId="4FDDFC66" w:rsidR="003F6D3E" w:rsidRPr="00F61CEC" w:rsidRDefault="007A0BFC" w:rsidP="00F61CEC">
    <w:pPr>
      <w:pStyle w:val="DocID"/>
    </w:pPr>
    <w:bookmarkStart w:id="1" w:name="_iDocIDField_1"/>
    <w:r>
      <w:rPr>
        <w:noProof/>
      </w:rPr>
      <mc:AlternateContent>
        <mc:Choice Requires="wps">
          <w:drawing>
            <wp:anchor distT="0" distB="0" distL="114300" distR="114300" simplePos="0" relativeHeight="251660288" behindDoc="1" locked="0" layoutInCell="1" allowOverlap="1" wp14:anchorId="331B88EB" wp14:editId="426064E8">
              <wp:simplePos x="0" y="0"/>
              <wp:positionH relativeFrom="margin">
                <wp:posOffset>-67945</wp:posOffset>
              </wp:positionH>
              <wp:positionV relativeFrom="paragraph">
                <wp:posOffset>-111125</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E2B4" w14:textId="77777777" w:rsidR="003F6D3E" w:rsidRDefault="003F6D3E">
                          <w:pPr>
                            <w:pStyle w:val="MacPacTraile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8.75pt;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" filled="f" stroked="f">
              <v:textbox inset="0,0,0,0">
                <w:txbxContent>
                  <w:p w14:paraId="727AE2B4" w14:textId="77777777" w:rsidR="003F6D3E" w:rsidRDefault="003F6D3E">
                    <w:pPr>
                      <w:pStyle w:val="MacPacTrailer"/>
                    </w:pPr>
                    <w:r>
                      <w:t xml:space="preserve"> </w:t>
                    </w:r>
                  </w:p>
                </w:txbxContent>
              </v:textbox>
              <w10:wrap anchorx="margin"/>
            </v:shape>
          </w:pict>
        </mc:Fallback>
      </mc:AlternateContent>
    </w:r>
    <w:r w:rsidR="0010247F">
      <w:fldChar w:fldCharType="begin"/>
    </w:r>
    <w:r w:rsidR="0010247F">
      <w:instrText xml:space="preserve">  DOCPROPERTY "CUS_DocIDString" </w:instrText>
    </w:r>
    <w:r w:rsidR="0010247F">
      <w:fldChar w:fldCharType="separate"/>
    </w:r>
    <w:r w:rsidR="00294EAA">
      <w:t>124091818</w:t>
    </w:r>
    <w:r w:rsidR="0010247F">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17D1" w14:textId="77777777" w:rsidR="00294EAA" w:rsidRDefault="0029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C7318" w14:textId="77777777" w:rsidR="00CB0C94" w:rsidRDefault="00CB0C94">
      <w:r>
        <w:separator/>
      </w:r>
    </w:p>
  </w:footnote>
  <w:footnote w:type="continuationSeparator" w:id="0">
    <w:p w14:paraId="69C7EF72" w14:textId="77777777" w:rsidR="00CB0C94" w:rsidRDefault="00CB0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787F" w14:textId="77777777" w:rsidR="00294EAA" w:rsidRDefault="00294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91C3" w14:textId="3DE3E621" w:rsidR="00F61CEC" w:rsidRPr="001B3046" w:rsidRDefault="00F61CEC">
    <w:pPr>
      <w:pStyle w:val="Head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3238" w14:textId="77777777" w:rsidR="00294EAA" w:rsidRDefault="00294E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45B9" w14:textId="6B005A59" w:rsidR="00092621" w:rsidRPr="001B3046" w:rsidRDefault="00354A2A">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1B95"/>
    <w:multiLevelType w:val="multilevel"/>
    <w:tmpl w:val="BE1CE86E"/>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DF0829"/>
    <w:multiLevelType w:val="multilevel"/>
    <w:tmpl w:val="5CB87C88"/>
    <w:lvl w:ilvl="0">
      <w:start w:val="2"/>
      <w:numFmt w:val="upperLetter"/>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964EE7"/>
    <w:multiLevelType w:val="multilevel"/>
    <w:tmpl w:val="81F8A20A"/>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95444F"/>
    <w:multiLevelType w:val="multilevel"/>
    <w:tmpl w:val="9F82AE3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7C6150"/>
    <w:multiLevelType w:val="multilevel"/>
    <w:tmpl w:val="F8DA59E0"/>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Darrow">
    <w15:presenceInfo w15:providerId="None" w15:userId="Ian Darrow"/>
  </w15:person>
  <w15:person w15:author="Juthica Chou">
    <w15:presenceInfo w15:providerId="None" w15:userId="Juthica C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80"/>
    <w:rsid w:val="000B4519"/>
    <w:rsid w:val="0010247F"/>
    <w:rsid w:val="00167980"/>
    <w:rsid w:val="001B3046"/>
    <w:rsid w:val="00203594"/>
    <w:rsid w:val="002563D8"/>
    <w:rsid w:val="00294EAA"/>
    <w:rsid w:val="00354A2A"/>
    <w:rsid w:val="003B0E79"/>
    <w:rsid w:val="003F6D3E"/>
    <w:rsid w:val="00420BC1"/>
    <w:rsid w:val="00433950"/>
    <w:rsid w:val="005D2917"/>
    <w:rsid w:val="006E68E9"/>
    <w:rsid w:val="007A0BFC"/>
    <w:rsid w:val="008A5075"/>
    <w:rsid w:val="009B5541"/>
    <w:rsid w:val="00B643E7"/>
    <w:rsid w:val="00C224E3"/>
    <w:rsid w:val="00C54B24"/>
    <w:rsid w:val="00C6633F"/>
    <w:rsid w:val="00CB0C94"/>
    <w:rsid w:val="00E628A9"/>
    <w:rsid w:val="00E650DF"/>
    <w:rsid w:val="00F61CEC"/>
    <w:rsid w:val="00FB0BF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3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MacPacTrailer">
    <w:name w:val="MacPac Trailer"/>
    <w:pPr>
      <w:widowControl w:val="0"/>
      <w:spacing w:line="200" w:lineRule="exact"/>
    </w:pPr>
    <w:rPr>
      <w:rFonts w:eastAsia="Times New Roman"/>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Calibri" w:eastAsia="Calibri" w:hAnsi="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ID">
    <w:name w:val="DocID"/>
    <w:basedOn w:val="Footer"/>
    <w:next w:val="Footer"/>
    <w:link w:val="DocIDChar"/>
    <w:rsid w:val="00F61CEC"/>
    <w:pPr>
      <w:tabs>
        <w:tab w:val="clear" w:pos="4680"/>
        <w:tab w:val="clear" w:pos="9360"/>
      </w:tabs>
    </w:pPr>
    <w:rPr>
      <w:sz w:val="16"/>
    </w:rPr>
  </w:style>
  <w:style w:type="character" w:customStyle="1" w:styleId="DocIDChar">
    <w:name w:val="DocID Char"/>
    <w:basedOn w:val="DefaultParagraphFont"/>
    <w:link w:val="DocID"/>
    <w:rsid w:val="00F61CEC"/>
    <w:rPr>
      <w:sz w:val="16"/>
    </w:rPr>
  </w:style>
  <w:style w:type="table" w:customStyle="1" w:styleId="TableGrid1">
    <w:name w:val="Table Grid1"/>
    <w:basedOn w:val="TableNormal"/>
    <w:next w:val="TableGrid"/>
    <w:uiPriority w:val="59"/>
    <w:rsid w:val="00C54B24"/>
    <w:rPr>
      <w:rFonts w:ascii="Calibri" w:eastAsia="Calibri" w:hAnsi="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MacPacTrailer">
    <w:name w:val="MacPac Trailer"/>
    <w:pPr>
      <w:widowControl w:val="0"/>
      <w:spacing w:line="200" w:lineRule="exact"/>
    </w:pPr>
    <w:rPr>
      <w:rFonts w:eastAsia="Times New Roman"/>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Calibri" w:eastAsia="Calibri" w:hAnsi="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ID">
    <w:name w:val="DocID"/>
    <w:basedOn w:val="Footer"/>
    <w:next w:val="Footer"/>
    <w:link w:val="DocIDChar"/>
    <w:rsid w:val="00F61CEC"/>
    <w:pPr>
      <w:tabs>
        <w:tab w:val="clear" w:pos="4680"/>
        <w:tab w:val="clear" w:pos="9360"/>
      </w:tabs>
    </w:pPr>
    <w:rPr>
      <w:sz w:val="16"/>
    </w:rPr>
  </w:style>
  <w:style w:type="character" w:customStyle="1" w:styleId="DocIDChar">
    <w:name w:val="DocID Char"/>
    <w:basedOn w:val="DefaultParagraphFont"/>
    <w:link w:val="DocID"/>
    <w:rsid w:val="00F61CEC"/>
    <w:rPr>
      <w:sz w:val="16"/>
    </w:rPr>
  </w:style>
  <w:style w:type="table" w:customStyle="1" w:styleId="TableGrid1">
    <w:name w:val="Table Grid1"/>
    <w:basedOn w:val="TableNormal"/>
    <w:next w:val="TableGrid"/>
    <w:uiPriority w:val="59"/>
    <w:rsid w:val="00C54B24"/>
    <w:rPr>
      <w:rFonts w:ascii="Calibri" w:eastAsia="Calibri" w:hAnsi="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17" Type="http://schemas.microsoft.com/office/2011/relationships/people" Target="people.xml" />
  <Relationship Id="rId2" Type="http://schemas.openxmlformats.org/officeDocument/2006/relationships/styles" Target="styles.xml" />
  <Relationship Id="rId16" Type="http://schemas.openxmlformats.org/officeDocument/2006/relationships/theme" Target="theme/theme1.xml" />
  <Relationship Id="drId2" Type="http://schemas.openxmlformats.org/wordprocessingml/2006/fontTable" Target="fontTable1.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1197</Words>
  <Characters>6362</Characters>
  <Application>Microsoft Office Word</Application>
  <DocSecurity>0</DocSecurity>
  <Lines>227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124091818</vt:lpwstr>
  </property>
</Properties>
</file>