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AB2" w:rsidRDefault="00E70AB2" w:rsidP="00E70AB2"/>
    <w:tbl>
      <w:tblPr>
        <w:tblStyle w:val="TableGrid"/>
        <w:tblW w:w="0" w:type="auto"/>
        <w:tblLook w:val="04A0"/>
      </w:tblPr>
      <w:tblGrid>
        <w:gridCol w:w="1818"/>
        <w:gridCol w:w="7758"/>
      </w:tblGrid>
      <w:tr w:rsidR="008868BC" w:rsidTr="00784CD7">
        <w:trPr>
          <w:trHeight w:val="332"/>
        </w:trPr>
        <w:tc>
          <w:tcPr>
            <w:tcW w:w="9576" w:type="dxa"/>
            <w:gridSpan w:val="2"/>
          </w:tcPr>
          <w:p w:rsidR="008868BC" w:rsidRPr="008868BC" w:rsidRDefault="008868BC" w:rsidP="000D5BFB">
            <w:pPr>
              <w:rPr>
                <w:b/>
              </w:rPr>
            </w:pPr>
            <w:r w:rsidRPr="008868BC">
              <w:rPr>
                <w:b/>
              </w:rPr>
              <w:t>Additional Reports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rFonts w:cs="Arial"/>
                <w:b/>
                <w:szCs w:val="20"/>
              </w:rPr>
              <w:t>October 2010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5" w:history="1">
              <w:r w:rsidR="00E70AB2" w:rsidRPr="000D5BFB">
                <w:rPr>
                  <w:rStyle w:val="Hyperlink"/>
                  <w:rFonts w:cs="Arial"/>
                  <w:szCs w:val="20"/>
                  <w:u w:val="none"/>
                </w:rPr>
                <w:t>Staff Findings Regarding the Market Events of May 6, 2010</w:t>
              </w:r>
            </w:hyperlink>
            <w:r w:rsidR="00E70AB2" w:rsidRPr="000D5BFB">
              <w:rPr>
                <w:rFonts w:cs="Arial"/>
                <w:szCs w:val="20"/>
              </w:rPr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rFonts w:cs="Arial"/>
                <w:b/>
                <w:szCs w:val="20"/>
              </w:rPr>
              <w:t>May 2010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6" w:history="1">
              <w:r w:rsidR="00E70AB2" w:rsidRPr="000D5BFB">
                <w:rPr>
                  <w:rStyle w:val="Hyperlink"/>
                  <w:rFonts w:cs="Arial"/>
                  <w:bCs/>
                  <w:szCs w:val="20"/>
                  <w:u w:val="none"/>
                </w:rPr>
                <w:t>Preliminary Report of the Staffs of the CFTC and SEC to the Joint Advisory Committee on Emerging Regulatory Issues</w:t>
              </w:r>
            </w:hyperlink>
            <w:r w:rsidR="00E70AB2" w:rsidRPr="000D5BFB">
              <w:rPr>
                <w:rFonts w:cs="Arial"/>
                <w:bCs/>
                <w:szCs w:val="20"/>
              </w:rPr>
              <w:t>,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rFonts w:cs="Arial"/>
                <w:b/>
                <w:szCs w:val="20"/>
              </w:rPr>
              <w:t>March 2010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7" w:history="1">
              <w:r w:rsidR="00E70AB2" w:rsidRPr="000D5BFB">
                <w:rPr>
                  <w:rStyle w:val="Hyperlink"/>
                  <w:rFonts w:cs="Arial"/>
                  <w:szCs w:val="20"/>
                  <w:u w:val="none"/>
                </w:rPr>
                <w:t>Fiscal Year 2009 Buy American Act Report</w:t>
              </w:r>
            </w:hyperlink>
            <w:r w:rsidR="00E70AB2" w:rsidRPr="000D5BFB">
              <w:rPr>
                <w:rFonts w:cs="Arial"/>
                <w:szCs w:val="20"/>
              </w:rPr>
              <w:t>,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rFonts w:cs="Arial"/>
                <w:b/>
                <w:szCs w:val="20"/>
              </w:rPr>
              <w:t>September 2008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8" w:tgtFrame="_top" w:history="1">
              <w:r w:rsidR="00E70AB2" w:rsidRPr="000D5BFB">
                <w:rPr>
                  <w:rStyle w:val="Hyperlink"/>
                  <w:rFonts w:cs="Arial"/>
                  <w:u w:val="none"/>
                </w:rPr>
                <w:t>CFTC Staff Report on Commodity Swap Dealers and Index Traders with Commission Recommendations</w:t>
              </w:r>
            </w:hyperlink>
            <w:r w:rsidR="00E70AB2" w:rsidRPr="000D5BFB">
              <w:rPr>
                <w:rFonts w:cs="Arial"/>
              </w:rPr>
              <w:t>,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b/>
              </w:rPr>
              <w:t>June 2008 Update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9" w:history="1">
              <w:r w:rsidR="00E70AB2" w:rsidRPr="000D5BFB">
                <w:rPr>
                  <w:rStyle w:val="Hyperlink"/>
                  <w:rFonts w:cs="Arial"/>
                  <w:szCs w:val="20"/>
                  <w:u w:val="none"/>
                </w:rPr>
                <w:t>Commodities and Equities: A “Market of One”?</w:t>
              </w:r>
            </w:hyperlink>
            <w:r w:rsidR="00E70AB2" w:rsidRPr="000D5BFB">
              <w:t>,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b/>
              </w:rPr>
              <w:t>October 2007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10" w:history="1">
              <w:r w:rsidR="00E70AB2" w:rsidRPr="000D5BFB">
                <w:rPr>
                  <w:rStyle w:val="Hyperlink"/>
                  <w:u w:val="none"/>
                </w:rPr>
                <w:t>Report on the Oversight of Trading on Regulated Futures Exchanges and Exempt Commercial Markets</w:t>
              </w:r>
            </w:hyperlink>
            <w:r w:rsidR="00E70AB2" w:rsidRPr="000D5BFB">
              <w:t>,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b/>
              </w:rPr>
              <w:t>April 2005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11" w:history="1">
              <w:r w:rsidR="00E70AB2" w:rsidRPr="000D5BFB">
                <w:rPr>
                  <w:rStyle w:val="Hyperlink"/>
                  <w:u w:val="none"/>
                </w:rPr>
                <w:t>Price Dynamics, Price Discovery and Large Futures Trader Interactions in the Energy Complex, Staff Research Report</w:t>
              </w:r>
            </w:hyperlink>
            <w:r w:rsidR="00E70AB2" w:rsidRPr="000D5BFB"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b/>
              </w:rPr>
              <w:t>January 2003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12" w:history="1">
              <w:r w:rsidR="00E70AB2" w:rsidRPr="000D5BFB">
                <w:rPr>
                  <w:rStyle w:val="Hyperlink"/>
                  <w:rFonts w:cs="Arial"/>
                  <w:szCs w:val="20"/>
                  <w:u w:val="none"/>
                </w:rPr>
                <w:t>Enhancing Disclosure in the Mortgage-Backed Securities Markets</w:t>
              </w:r>
            </w:hyperlink>
            <w:r w:rsidR="00E70AB2" w:rsidRPr="000D5BFB"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b/>
              </w:rPr>
              <w:t>June 2002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13" w:history="1">
              <w:r w:rsidR="00E70AB2" w:rsidRPr="000D5BFB">
                <w:rPr>
                  <w:rStyle w:val="Hyperlink"/>
                  <w:u w:val="none"/>
                </w:rPr>
                <w:t>Report on the Study of the Commodity Exchange Act and the Commission Rules and Orders Governing the Conduct of Registrants Under the Act</w:t>
              </w:r>
            </w:hyperlink>
            <w:r w:rsidR="00E70AB2" w:rsidRPr="000D5BFB"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b/>
              </w:rPr>
              <w:t>April 2002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14" w:history="1">
              <w:r w:rsidR="00E70AB2" w:rsidRPr="000D5BFB">
                <w:rPr>
                  <w:rStyle w:val="Hyperlink"/>
                  <w:u w:val="none"/>
                </w:rPr>
                <w:t>Report on Cattle Futures Trading During March/April 2002</w:t>
              </w:r>
            </w:hyperlink>
            <w:r w:rsidR="00E70AB2" w:rsidRPr="000D5BFB"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b/>
              </w:rPr>
              <w:t>March 2002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15" w:history="1">
              <w:r w:rsidR="00E70AB2" w:rsidRPr="000D5BFB">
                <w:rPr>
                  <w:rStyle w:val="Hyperlink"/>
                  <w:u w:val="none"/>
                </w:rPr>
                <w:t>Report on Futures Industry Response to September 11</w:t>
              </w:r>
              <w:r w:rsidR="00E70AB2" w:rsidRPr="000D5BFB">
                <w:rPr>
                  <w:rStyle w:val="Hyperlink"/>
                  <w:u w:val="none"/>
                  <w:vertAlign w:val="superscript"/>
                </w:rPr>
                <w:t>th</w:t>
              </w:r>
            </w:hyperlink>
            <w:r w:rsidR="00E70AB2" w:rsidRPr="000D5BFB"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b/>
              </w:rPr>
              <w:t>December 2001</w:t>
            </w:r>
          </w:p>
        </w:tc>
        <w:tc>
          <w:tcPr>
            <w:tcW w:w="7758" w:type="dxa"/>
          </w:tcPr>
          <w:p w:rsidR="00E70AB2" w:rsidRPr="000D5BFB" w:rsidRDefault="00E32F16" w:rsidP="000D5BFB">
            <w:hyperlink r:id="rId16" w:history="1">
              <w:r w:rsidR="00E70AB2" w:rsidRPr="000D5BFB">
                <w:rPr>
                  <w:rStyle w:val="Hyperlink"/>
                  <w:u w:val="none"/>
                </w:rPr>
                <w:t>Special Procedures to Encourage and Facilitate Bona Fide Hedging by Agricultural Producers</w:t>
              </w:r>
            </w:hyperlink>
            <w:r w:rsidR="00E70AB2" w:rsidRPr="000D5BFB">
              <w:t xml:space="preserve"> (PDF)</w:t>
            </w:r>
          </w:p>
        </w:tc>
      </w:tr>
      <w:tr w:rsidR="009E768A" w:rsidTr="0023266C">
        <w:tc>
          <w:tcPr>
            <w:tcW w:w="1818" w:type="dxa"/>
          </w:tcPr>
          <w:p w:rsidR="009E768A" w:rsidRPr="000D5BFB" w:rsidRDefault="009E768A" w:rsidP="000D5BFB">
            <w:pPr>
              <w:rPr>
                <w:b/>
              </w:rPr>
            </w:pPr>
            <w:r w:rsidRPr="000D5BFB">
              <w:rPr>
                <w:b/>
              </w:rPr>
              <w:t>December 2001</w:t>
            </w:r>
          </w:p>
        </w:tc>
        <w:tc>
          <w:tcPr>
            <w:tcW w:w="7758" w:type="dxa"/>
          </w:tcPr>
          <w:p w:rsidR="009E768A" w:rsidRDefault="00E32F16" w:rsidP="000D5BFB">
            <w:hyperlink r:id="rId17" w:history="1">
              <w:r w:rsidR="009E768A" w:rsidRPr="000D5BFB">
                <w:rPr>
                  <w:rStyle w:val="Hyperlink"/>
                  <w:rFonts w:cs="Arial"/>
                  <w:szCs w:val="20"/>
                  <w:u w:val="none"/>
                </w:rPr>
                <w:t>Joint Report on Retail Swaps</w:t>
              </w:r>
            </w:hyperlink>
            <w:r w:rsidR="009E768A" w:rsidRPr="000D5BFB"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3E66CE" w:rsidP="000D5BFB">
            <w:pPr>
              <w:rPr>
                <w:b/>
              </w:rPr>
            </w:pPr>
            <w:r>
              <w:rPr>
                <w:b/>
              </w:rPr>
              <w:t>November 1999</w:t>
            </w:r>
          </w:p>
        </w:tc>
        <w:tc>
          <w:tcPr>
            <w:tcW w:w="7758" w:type="dxa"/>
          </w:tcPr>
          <w:p w:rsidR="00E70AB2" w:rsidRPr="003E66CE" w:rsidRDefault="00E32F16" w:rsidP="000D5BFB">
            <w:hyperlink r:id="rId18" w:history="1">
              <w:r w:rsidR="003E66CE" w:rsidRPr="003E66CE">
                <w:rPr>
                  <w:rStyle w:val="Hyperlink"/>
                  <w:u w:val="none"/>
                </w:rPr>
                <w:t>The Global Competitiveness of U.S. Futures Markets Revisited</w:t>
              </w:r>
            </w:hyperlink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rFonts w:cs="Arial"/>
                <w:b/>
                <w:szCs w:val="20"/>
              </w:rPr>
              <w:t>November 1999</w:t>
            </w:r>
          </w:p>
        </w:tc>
        <w:tc>
          <w:tcPr>
            <w:tcW w:w="7758" w:type="dxa"/>
          </w:tcPr>
          <w:p w:rsidR="00E70AB2" w:rsidRPr="000D5BFB" w:rsidRDefault="00E32F16" w:rsidP="000D5BFB">
            <w:pPr>
              <w:rPr>
                <w:rFonts w:cs="Arial"/>
                <w:szCs w:val="20"/>
              </w:rPr>
            </w:pPr>
            <w:hyperlink r:id="rId19" w:history="1">
              <w:r w:rsidR="00E70AB2" w:rsidRPr="000D5BFB">
                <w:rPr>
                  <w:rStyle w:val="Hyperlink"/>
                  <w:rFonts w:cs="Arial"/>
                  <w:szCs w:val="20"/>
                  <w:u w:val="none"/>
                </w:rPr>
                <w:t>Over-the-Counter Derivatives Markets and the Commodity Exchange Act</w:t>
              </w:r>
            </w:hyperlink>
            <w:r w:rsidR="00E70AB2" w:rsidRPr="000D5BFB">
              <w:rPr>
                <w:rFonts w:cs="Arial"/>
                <w:szCs w:val="20"/>
              </w:rPr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rFonts w:cs="Arial"/>
                <w:b/>
                <w:szCs w:val="20"/>
              </w:rPr>
              <w:t>April 1999</w:t>
            </w:r>
          </w:p>
        </w:tc>
        <w:tc>
          <w:tcPr>
            <w:tcW w:w="7758" w:type="dxa"/>
          </w:tcPr>
          <w:p w:rsidR="00E70AB2" w:rsidRPr="000D5BFB" w:rsidRDefault="00E32F16" w:rsidP="000D5BFB">
            <w:pPr>
              <w:rPr>
                <w:rFonts w:cs="Arial"/>
                <w:szCs w:val="20"/>
              </w:rPr>
            </w:pPr>
            <w:hyperlink r:id="rId20" w:history="1">
              <w:r w:rsidR="00E70AB2" w:rsidRPr="000D5BFB">
                <w:rPr>
                  <w:rStyle w:val="Hyperlink"/>
                  <w:rFonts w:cs="Arial"/>
                  <w:szCs w:val="20"/>
                  <w:u w:val="none"/>
                </w:rPr>
                <w:t>Hedge Funds, Leverage, and the Lessons of Long-Term Capital Management</w:t>
              </w:r>
            </w:hyperlink>
            <w:r w:rsidR="00E70AB2" w:rsidRPr="000D5BFB">
              <w:rPr>
                <w:rFonts w:cs="Arial"/>
                <w:szCs w:val="20"/>
              </w:rPr>
              <w:t xml:space="preserve"> (PDF)</w:t>
            </w:r>
          </w:p>
        </w:tc>
      </w:tr>
      <w:tr w:rsidR="00E70AB2" w:rsidTr="0023266C">
        <w:tc>
          <w:tcPr>
            <w:tcW w:w="1818" w:type="dxa"/>
          </w:tcPr>
          <w:p w:rsidR="00E70AB2" w:rsidRPr="000D5BFB" w:rsidRDefault="00E70AB2" w:rsidP="000D5BFB">
            <w:pPr>
              <w:rPr>
                <w:b/>
              </w:rPr>
            </w:pPr>
            <w:r w:rsidRPr="000D5BFB">
              <w:rPr>
                <w:rFonts w:cs="Arial"/>
                <w:b/>
                <w:szCs w:val="20"/>
              </w:rPr>
              <w:t>May 1997</w:t>
            </w:r>
          </w:p>
        </w:tc>
        <w:tc>
          <w:tcPr>
            <w:tcW w:w="7758" w:type="dxa"/>
          </w:tcPr>
          <w:p w:rsidR="00E70AB2" w:rsidRPr="000D5BFB" w:rsidRDefault="00E32F16" w:rsidP="000D5BFB">
            <w:pPr>
              <w:rPr>
                <w:rFonts w:cs="Arial"/>
                <w:szCs w:val="20"/>
              </w:rPr>
            </w:pPr>
            <w:hyperlink r:id="rId21" w:history="1">
              <w:r w:rsidR="00E70AB2" w:rsidRPr="000D5BFB">
                <w:rPr>
                  <w:rStyle w:val="Hyperlink"/>
                  <w:rFonts w:cs="Arial"/>
                  <w:szCs w:val="20"/>
                  <w:u w:val="none"/>
                </w:rPr>
                <w:t>Policy Alternatives Relating to Agricultural Trade Options and Other Agricultural Risk-Shifting Contracts</w:t>
              </w:r>
            </w:hyperlink>
          </w:p>
        </w:tc>
      </w:tr>
    </w:tbl>
    <w:p w:rsidR="00585718" w:rsidRDefault="00585718"/>
    <w:p w:rsidR="00E70AB2" w:rsidRDefault="00E70AB2"/>
    <w:p w:rsidR="00E70AB2" w:rsidRDefault="00E70AB2"/>
    <w:sectPr w:rsidR="00E70AB2" w:rsidSect="00585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756B6"/>
    <w:multiLevelType w:val="hybridMultilevel"/>
    <w:tmpl w:val="E42CFC8E"/>
    <w:lvl w:ilvl="0" w:tplc="29808AF0">
      <w:start w:val="1"/>
      <w:numFmt w:val="bullet"/>
      <w:pStyle w:val="BulletedHyperlink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DBD2E74"/>
    <w:multiLevelType w:val="hybridMultilevel"/>
    <w:tmpl w:val="AAC6E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0F7AC1"/>
    <w:multiLevelType w:val="hybridMultilevel"/>
    <w:tmpl w:val="39887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0AB2"/>
    <w:rsid w:val="000576BF"/>
    <w:rsid w:val="00072761"/>
    <w:rsid w:val="000803D6"/>
    <w:rsid w:val="000D5BFB"/>
    <w:rsid w:val="0023266C"/>
    <w:rsid w:val="00257903"/>
    <w:rsid w:val="00307E70"/>
    <w:rsid w:val="00384AFF"/>
    <w:rsid w:val="003E66CE"/>
    <w:rsid w:val="00436CE4"/>
    <w:rsid w:val="0058527D"/>
    <w:rsid w:val="00585718"/>
    <w:rsid w:val="00607D38"/>
    <w:rsid w:val="006243BC"/>
    <w:rsid w:val="0063622E"/>
    <w:rsid w:val="00667CD6"/>
    <w:rsid w:val="007029A9"/>
    <w:rsid w:val="0072765F"/>
    <w:rsid w:val="0081615C"/>
    <w:rsid w:val="008868BC"/>
    <w:rsid w:val="009309EC"/>
    <w:rsid w:val="009B2B68"/>
    <w:rsid w:val="009D3843"/>
    <w:rsid w:val="009E768A"/>
    <w:rsid w:val="00B91704"/>
    <w:rsid w:val="00BE6AC8"/>
    <w:rsid w:val="00C23A3C"/>
    <w:rsid w:val="00D27AE8"/>
    <w:rsid w:val="00D94282"/>
    <w:rsid w:val="00DB1AD1"/>
    <w:rsid w:val="00DB7297"/>
    <w:rsid w:val="00E32F16"/>
    <w:rsid w:val="00E70AB2"/>
    <w:rsid w:val="00E87F90"/>
    <w:rsid w:val="00F37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AB2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E70AB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70AB2"/>
    <w:rPr>
      <w:b/>
      <w:bCs/>
    </w:rPr>
  </w:style>
  <w:style w:type="character" w:customStyle="1" w:styleId="Heading3Char">
    <w:name w:val="Heading 3 Char"/>
    <w:basedOn w:val="DefaultParagraphFont"/>
    <w:link w:val="Heading3"/>
    <w:rsid w:val="00E70AB2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basedOn w:val="DefaultParagraphFont"/>
    <w:rsid w:val="00E70AB2"/>
    <w:rPr>
      <w:color w:val="0000FF"/>
      <w:u w:val="single"/>
    </w:rPr>
  </w:style>
  <w:style w:type="character" w:customStyle="1" w:styleId="EmailStyle181">
    <w:name w:val="EmailStyle18"/>
    <w:aliases w:val="EmailStyle18"/>
    <w:basedOn w:val="DefaultParagraphFont"/>
    <w:semiHidden/>
    <w:personal/>
    <w:personalCompose/>
    <w:rsid w:val="00E70AB2"/>
    <w:rPr>
      <w:rFonts w:ascii="Arial" w:hAnsi="Arial" w:cs="Arial"/>
      <w:color w:val="auto"/>
      <w:sz w:val="20"/>
      <w:szCs w:val="20"/>
    </w:rPr>
  </w:style>
  <w:style w:type="paragraph" w:customStyle="1" w:styleId="BulletedHyperlink">
    <w:name w:val="BulletedHyperlink"/>
    <w:basedOn w:val="Normal"/>
    <w:rsid w:val="00E70AB2"/>
    <w:pPr>
      <w:numPr>
        <w:numId w:val="1"/>
      </w:numPr>
    </w:pPr>
  </w:style>
  <w:style w:type="table" w:styleId="TableGrid">
    <w:name w:val="Table Grid"/>
    <w:basedOn w:val="TableNormal"/>
    <w:uiPriority w:val="59"/>
    <w:rsid w:val="00E70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B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LINK/cftcstaffreportonswapdealers09" TargetMode="External"/><Relationship Id="rId13" Type="http://schemas.openxmlformats.org/officeDocument/2006/relationships/hyperlink" Target="http://www.cftc.gov/files/opa/opaintermediarystudy.pdf" TargetMode="External"/><Relationship Id="rId18" Type="http://schemas.openxmlformats.org/officeDocument/2006/relationships/hyperlink" Target="http://www.cftc.gov/dea/compete/deacompete.htm" TargetMode="External"/><Relationship Id="rId3" Type="http://schemas.openxmlformats.org/officeDocument/2006/relationships/settings" Target="settings.xml"/><Relationship Id="rId21" Type="http://schemas.openxmlformats.org/officeDocument/2006/relationships/hyperlink" Target="ssLINK/acag8" TargetMode="External"/><Relationship Id="rId7" Type="http://schemas.openxmlformats.org/officeDocument/2006/relationships/hyperlink" Target="ssLINK/buyamericanactletter032910" TargetMode="External"/><Relationship Id="rId12" Type="http://schemas.openxmlformats.org/officeDocument/2006/relationships/hyperlink" Target="http://www.treasury.gov/resource-center/fin-mkts/Documents/disclosure.pdf" TargetMode="External"/><Relationship Id="rId17" Type="http://schemas.openxmlformats.org/officeDocument/2006/relationships/hyperlink" Target="http://www.treasury.gov/press-center/press-releases/Documents/rssfinal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ftc.gov/files/dea/deabonafidehedgingreport.pdf" TargetMode="External"/><Relationship Id="rId20" Type="http://schemas.openxmlformats.org/officeDocument/2006/relationships/hyperlink" Target="http://www.treasury.gov/resource-center/fin-mkts/Documents/hedgfund.pdf" TargetMode="External"/><Relationship Id="rId1" Type="http://schemas.openxmlformats.org/officeDocument/2006/relationships/numbering" Target="numbering.xml"/><Relationship Id="rId6" Type="http://schemas.openxmlformats.org/officeDocument/2006/relationships/hyperlink" Target="ssLINK/opa-jointreport-SEC-051810" TargetMode="External"/><Relationship Id="rId11" Type="http://schemas.openxmlformats.org/officeDocument/2006/relationships/hyperlink" Target="http://www.cftc.gov/files/opa/press05/opacftc-managed-money-trader-study.pdf" TargetMode="External"/><Relationship Id="rId5" Type="http://schemas.openxmlformats.org/officeDocument/2006/relationships/hyperlink" Target="ssLINK/staff-findings050610" TargetMode="External"/><Relationship Id="rId15" Type="http://schemas.openxmlformats.org/officeDocument/2006/relationships/hyperlink" Target="http://www.cftc.gov/files/opa/opa9-11reportprintversion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ssLINK/pr5403-07_ecmreport" TargetMode="External"/><Relationship Id="rId19" Type="http://schemas.openxmlformats.org/officeDocument/2006/relationships/hyperlink" Target="http://www.treasury.gov/resource-center/fin-mkts/Documents/otcac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ssLINK/amarketofone_update0608" TargetMode="External"/><Relationship Id="rId14" Type="http://schemas.openxmlformats.org/officeDocument/2006/relationships/hyperlink" Target="ssLINK/opacftccattlereport04-0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406</Words>
  <Characters>2315</Characters>
  <Application>Microsoft Office Word</Application>
  <DocSecurity>0</DocSecurity>
  <Lines>19</Lines>
  <Paragraphs>5</Paragraphs>
  <ScaleCrop>false</ScaleCrop>
  <Company>CFTC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CHALL</dc:creator>
  <cp:lastModifiedBy>CHALL</cp:lastModifiedBy>
  <cp:revision>7</cp:revision>
  <dcterms:created xsi:type="dcterms:W3CDTF">2011-03-02T14:47:00Z</dcterms:created>
  <dcterms:modified xsi:type="dcterms:W3CDTF">2011-03-02T15:07:00Z</dcterms:modified>
</cp:coreProperties>
</file>